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B791C">
      <w:pPr>
        <w:spacing w:after="0" w:line="480" w:lineRule="exact"/>
        <w:ind w:firstLine="562" w:firstLineChars="200"/>
        <w:jc w:val="center"/>
        <w:rPr>
          <w:rFonts w:ascii="Times New Roman" w:hAnsi="Times New Roman" w:eastAsia="宋体" w:cs="Times New Roman"/>
          <w:b/>
          <w:color w:val="000000" w:themeColor="text1"/>
          <w:sz w:val="28"/>
          <w:szCs w:val="28"/>
          <w14:textFill>
            <w14:solidFill>
              <w14:schemeClr w14:val="tx1"/>
            </w14:solidFill>
          </w14:textFill>
        </w:rPr>
      </w:pPr>
      <w:r>
        <w:rPr>
          <w:rFonts w:hint="eastAsia" w:ascii="Times New Roman" w:hAnsi="Times New Roman" w:eastAsia="宋体" w:cs="Times New Roman"/>
          <w:b/>
          <w:color w:val="000000" w:themeColor="text1"/>
          <w:sz w:val="28"/>
          <w:szCs w:val="28"/>
          <w:lang w:eastAsia="zh-CN"/>
          <w14:textFill>
            <w14:solidFill>
              <w14:schemeClr w14:val="tx1"/>
            </w14:solidFill>
          </w14:textFill>
        </w:rPr>
        <w:t>醴陵市丰裕瓷厂年产600万件日用陶瓷建设项目</w:t>
      </w:r>
      <w:r>
        <w:rPr>
          <w:rFonts w:ascii="Times New Roman" w:hAnsi="Times New Roman" w:eastAsia="宋体" w:cs="Times New Roman"/>
          <w:b/>
          <w:color w:val="000000" w:themeColor="text1"/>
          <w:sz w:val="28"/>
          <w:szCs w:val="28"/>
          <w14:textFill>
            <w14:solidFill>
              <w14:schemeClr w14:val="tx1"/>
            </w14:solidFill>
          </w14:textFill>
        </w:rPr>
        <w:t>竣工环境保护验收</w:t>
      </w:r>
      <w:r>
        <w:rPr>
          <w:rFonts w:hint="eastAsia" w:ascii="Times New Roman" w:hAnsi="Times New Roman" w:eastAsia="宋体" w:cs="Times New Roman"/>
          <w:b/>
          <w:color w:val="000000" w:themeColor="text1"/>
          <w:sz w:val="28"/>
          <w:szCs w:val="28"/>
          <w14:textFill>
            <w14:solidFill>
              <w14:schemeClr w14:val="tx1"/>
            </w14:solidFill>
          </w14:textFill>
        </w:rPr>
        <w:t>意见</w:t>
      </w:r>
    </w:p>
    <w:p w14:paraId="1D153A43">
      <w:pPr>
        <w:spacing w:after="0" w:line="480" w:lineRule="exact"/>
        <w:ind w:firstLine="562" w:firstLineChars="200"/>
        <w:jc w:val="center"/>
        <w:rPr>
          <w:rFonts w:hint="eastAsia" w:ascii="Times New Roman" w:hAnsi="Times New Roman" w:eastAsia="宋体" w:cs="Times New Roman"/>
          <w:b/>
          <w:color w:val="000000" w:themeColor="text1"/>
          <w:sz w:val="28"/>
          <w:szCs w:val="28"/>
          <w14:textFill>
            <w14:solidFill>
              <w14:schemeClr w14:val="tx1"/>
            </w14:solidFill>
          </w14:textFill>
        </w:rPr>
      </w:pPr>
    </w:p>
    <w:p w14:paraId="3F05CF13">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2026年5月5日，醴陵市丰裕瓷厂组织召开了“醴陵市丰裕瓷厂年产600万件日用陶瓷建设项目”竣工环境保护验收会，会议成立竣工环保验收工作组（名单附后），工作组根据《醴陵市丰裕瓷厂年产600万件日用陶瓷建设项目竣工环境保护验收监测报告》并对照《建设项目竣工环境保护验收暂行管理办法》，严格按照国家相关法律法规、建设项目竣工环境保护验收技术指南、本项目环境影响报告书和审批部门审批决定等要求对本项目进行竣工环境保护验收，提出以下意见：</w:t>
      </w:r>
    </w:p>
    <w:p w14:paraId="68DA4C9B">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textAlignment w:val="auto"/>
        <w:rPr>
          <w:rFonts w:ascii="Times New Roman" w:hAnsi="Times New Roman" w:eastAsia="宋体" w:cs="Times New Roman"/>
          <w:b/>
          <w:color w:val="000000" w:themeColor="text1"/>
          <w:sz w:val="24"/>
          <w:szCs w:val="24"/>
          <w14:textFill>
            <w14:solidFill>
              <w14:schemeClr w14:val="tx1"/>
            </w14:solidFill>
          </w14:textFill>
        </w:rPr>
      </w:pPr>
      <w:r>
        <w:rPr>
          <w:rFonts w:hint="eastAsia" w:ascii="Times New Roman" w:hAnsi="Times New Roman" w:eastAsia="宋体" w:cs="Times New Roman"/>
          <w:b/>
          <w:color w:val="000000" w:themeColor="text1"/>
          <w:sz w:val="24"/>
          <w:szCs w:val="24"/>
          <w14:textFill>
            <w14:solidFill>
              <w14:schemeClr w14:val="tx1"/>
            </w14:solidFill>
          </w14:textFill>
        </w:rPr>
        <w:t>一、项目建设基本情况</w:t>
      </w:r>
    </w:p>
    <w:p w14:paraId="1CF17F31">
      <w:pPr>
        <w:keepNext w:val="0"/>
        <w:keepLines w:val="0"/>
        <w:pageBreakBefore w:val="0"/>
        <w:widowControl/>
        <w:kinsoku/>
        <w:wordWrap/>
        <w:overflowPunct/>
        <w:topLinePunct w:val="0"/>
        <w:autoSpaceDE/>
        <w:autoSpaceDN/>
        <w:bidi w:val="0"/>
        <w:adjustRightInd w:val="0"/>
        <w:snapToGrid w:val="0"/>
        <w:spacing w:after="0" w:line="360" w:lineRule="auto"/>
        <w:ind w:firstLine="482" w:firstLineChars="200"/>
        <w:textAlignment w:val="auto"/>
        <w:rPr>
          <w:rFonts w:ascii="Times New Roman" w:hAnsi="Times New Roman" w:eastAsia="宋体" w:cs="Times New Roman"/>
          <w:b/>
          <w:bCs w:val="0"/>
          <w:color w:val="000000" w:themeColor="text1"/>
          <w:sz w:val="24"/>
          <w:szCs w:val="24"/>
          <w14:textFill>
            <w14:solidFill>
              <w14:schemeClr w14:val="tx1"/>
            </w14:solidFill>
          </w14:textFill>
        </w:rPr>
      </w:pPr>
      <w:r>
        <w:rPr>
          <w:rFonts w:hint="eastAsia" w:ascii="Times New Roman" w:hAnsi="Times New Roman" w:eastAsia="宋体" w:cs="Times New Roman"/>
          <w:b/>
          <w:bCs w:val="0"/>
          <w:color w:val="000000" w:themeColor="text1"/>
          <w:sz w:val="24"/>
          <w:szCs w:val="24"/>
          <w14:textFill>
            <w14:solidFill>
              <w14:schemeClr w14:val="tx1"/>
            </w14:solidFill>
          </w14:textFill>
        </w:rPr>
        <w:t>1、建设地点、规模、主要建设内容</w:t>
      </w:r>
    </w:p>
    <w:p w14:paraId="5F99D46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Times New Roman" w:hAnsi="Times New Roman" w:eastAsia="宋体" w:cs="Times New Roman"/>
          <w:bCs/>
          <w:color w:val="000000" w:themeColor="text1"/>
          <w:sz w:val="24"/>
          <w:szCs w:val="24"/>
          <w14:textFill>
            <w14:solidFill>
              <w14:schemeClr w14:val="tx1"/>
            </w14:solidFill>
          </w14:textFill>
        </w:rPr>
      </w:pPr>
      <w:r>
        <w:rPr>
          <w:rFonts w:hint="eastAsia" w:ascii="Times New Roman" w:hAnsi="Times New Roman" w:eastAsia="宋体" w:cs="Times New Roman"/>
          <w:bCs/>
          <w:color w:val="000000" w:themeColor="text1"/>
          <w:sz w:val="24"/>
          <w:szCs w:val="24"/>
          <w14:textFill>
            <w14:solidFill>
              <w14:schemeClr w14:val="tx1"/>
            </w14:solidFill>
          </w14:textFill>
        </w:rPr>
        <w:t>本次验收项目建设地点为</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湖南株洲市醴陵市醴陵市王仙镇王仙村</w:t>
      </w:r>
      <w:r>
        <w:rPr>
          <w:rFonts w:hint="eastAsia" w:ascii="Times New Roman" w:hAnsi="Times New Roman" w:eastAsia="宋体" w:cs="Times New Roman"/>
          <w:bCs/>
          <w:color w:val="000000" w:themeColor="text1"/>
          <w:sz w:val="24"/>
          <w:szCs w:val="24"/>
          <w14:textFill>
            <w14:solidFill>
              <w14:schemeClr w14:val="tx1"/>
            </w14:solidFill>
          </w14:textFill>
        </w:rPr>
        <w:t>，主要建设内容见表1。</w:t>
      </w:r>
    </w:p>
    <w:p w14:paraId="18E1FC8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rPr>
          <w:rFonts w:ascii="Times New Roman" w:hAnsi="Times New Roman" w:eastAsia="宋体" w:cs="Times New Roman"/>
          <w:b/>
          <w:bCs/>
          <w:color w:val="000000"/>
          <w:sz w:val="21"/>
          <w:szCs w:val="21"/>
        </w:rPr>
      </w:pPr>
      <w:r>
        <w:rPr>
          <w:rFonts w:ascii="Times New Roman" w:hAnsi="Times New Roman" w:eastAsia="宋体" w:cs="Times New Roman"/>
          <w:b/>
          <w:bCs/>
          <w:color w:val="000000"/>
          <w:sz w:val="21"/>
          <w:szCs w:val="21"/>
        </w:rPr>
        <w:t>表1 项目主要建设内容一览表</w:t>
      </w:r>
    </w:p>
    <w:tbl>
      <w:tblPr>
        <w:tblStyle w:val="18"/>
        <w:tblW w:w="9071"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003"/>
        <w:gridCol w:w="1374"/>
        <w:gridCol w:w="1401"/>
        <w:gridCol w:w="3501"/>
        <w:gridCol w:w="1792"/>
      </w:tblGrid>
      <w:tr w14:paraId="2FB89B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tcBorders>
              <w:tl2br w:val="nil"/>
              <w:tr2bl w:val="nil"/>
            </w:tcBorders>
            <w:vAlign w:val="center"/>
          </w:tcPr>
          <w:p w14:paraId="0426CA1D">
            <w:pPr>
              <w:pStyle w:val="37"/>
              <w:spacing w:after="0" w:line="240" w:lineRule="auto"/>
              <w:ind w:firstLine="0" w:firstLineChars="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工程类型</w:t>
            </w:r>
          </w:p>
        </w:tc>
        <w:tc>
          <w:tcPr>
            <w:tcW w:w="1374" w:type="dxa"/>
            <w:tcBorders>
              <w:tl2br w:val="nil"/>
              <w:tr2bl w:val="nil"/>
            </w:tcBorders>
            <w:vAlign w:val="center"/>
          </w:tcPr>
          <w:p w14:paraId="5CC454C5">
            <w:pPr>
              <w:pStyle w:val="37"/>
              <w:spacing w:after="0" w:line="240" w:lineRule="auto"/>
              <w:ind w:firstLine="0" w:firstLineChars="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工程名称</w:t>
            </w:r>
          </w:p>
        </w:tc>
        <w:tc>
          <w:tcPr>
            <w:tcW w:w="4902" w:type="dxa"/>
            <w:gridSpan w:val="2"/>
            <w:tcBorders>
              <w:tl2br w:val="nil"/>
              <w:tr2bl w:val="nil"/>
            </w:tcBorders>
            <w:vAlign w:val="center"/>
          </w:tcPr>
          <w:p w14:paraId="4DADADDB">
            <w:pPr>
              <w:pStyle w:val="37"/>
              <w:spacing w:after="0" w:line="240" w:lineRule="auto"/>
              <w:ind w:firstLine="0" w:firstLineChars="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eastAsia="宋体" w:cs="Times New Roman"/>
                <w:b/>
                <w:bCs/>
                <w:color w:val="000000" w:themeColor="text1"/>
                <w:sz w:val="21"/>
                <w:szCs w:val="21"/>
                <w:lang w:val="en-US" w:eastAsia="zh-CN"/>
                <w14:textFill>
                  <w14:solidFill>
                    <w14:schemeClr w14:val="tx1"/>
                  </w14:solidFill>
                </w14:textFill>
              </w:rPr>
              <w:t>环评规划建设内容</w:t>
            </w:r>
          </w:p>
        </w:tc>
        <w:tc>
          <w:tcPr>
            <w:tcW w:w="1792" w:type="dxa"/>
            <w:tcBorders>
              <w:tl2br w:val="nil"/>
              <w:tr2bl w:val="nil"/>
            </w:tcBorders>
            <w:vAlign w:val="center"/>
          </w:tcPr>
          <w:p w14:paraId="29CD99FD">
            <w:pPr>
              <w:pStyle w:val="37"/>
              <w:spacing w:after="0" w:line="240" w:lineRule="auto"/>
              <w:ind w:firstLine="0" w:firstLineChars="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eastAsia" w:eastAsia="宋体" w:cs="Times New Roman"/>
                <w:b/>
                <w:bCs/>
                <w:color w:val="000000" w:themeColor="text1"/>
                <w:sz w:val="21"/>
                <w:szCs w:val="21"/>
                <w:lang w:val="en-US" w:eastAsia="zh-CN"/>
                <w14:textFill>
                  <w14:solidFill>
                    <w14:schemeClr w14:val="tx1"/>
                  </w14:solidFill>
                </w14:textFill>
              </w:rPr>
              <w:t>实际建设情况</w:t>
            </w:r>
          </w:p>
        </w:tc>
      </w:tr>
      <w:tr w14:paraId="526277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restart"/>
            <w:tcBorders>
              <w:tl2br w:val="nil"/>
              <w:tr2bl w:val="nil"/>
            </w:tcBorders>
            <w:vAlign w:val="center"/>
          </w:tcPr>
          <w:p w14:paraId="6720458B">
            <w:pPr>
              <w:pStyle w:val="37"/>
              <w:spacing w:after="0"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主体工程</w:t>
            </w:r>
          </w:p>
        </w:tc>
        <w:tc>
          <w:tcPr>
            <w:tcW w:w="1374" w:type="dxa"/>
            <w:tcBorders>
              <w:tl2br w:val="nil"/>
              <w:tr2bl w:val="nil"/>
            </w:tcBorders>
            <w:vAlign w:val="center"/>
          </w:tcPr>
          <w:p w14:paraId="3CF66E83">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lang w:val="en-US" w:eastAsia="zh-CN"/>
                <w14:textFill>
                  <w14:solidFill>
                    <w14:schemeClr w14:val="tx1"/>
                  </w14:solidFill>
                </w14:textFill>
              </w:rPr>
              <w:t>白瓷生产车间</w:t>
            </w:r>
          </w:p>
        </w:tc>
        <w:tc>
          <w:tcPr>
            <w:tcW w:w="4902" w:type="dxa"/>
            <w:gridSpan w:val="2"/>
            <w:tcBorders>
              <w:tl2br w:val="nil"/>
              <w:tr2bl w:val="nil"/>
            </w:tcBorders>
            <w:vAlign w:val="center"/>
          </w:tcPr>
          <w:p w14:paraId="263E46F8">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u w:val="none" w:color="auto"/>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color="auto"/>
                <w14:textFill>
                  <w14:solidFill>
                    <w14:schemeClr w14:val="tx1"/>
                  </w14:solidFill>
                </w14:textFill>
              </w:rPr>
              <w:t>IF，砖混结构，建筑面积2400m</w:t>
            </w:r>
            <w:r>
              <w:rPr>
                <w:rFonts w:hint="eastAsia" w:ascii="Times New Roman" w:hAnsi="Times New Roman" w:cs="Times New Roman"/>
                <w:color w:val="000000" w:themeColor="text1"/>
                <w:sz w:val="21"/>
                <w:szCs w:val="21"/>
                <w:highlight w:val="none"/>
                <w:u w:val="none" w:color="auto"/>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u w:val="none" w:color="auto"/>
                <w14:textFill>
                  <w14:solidFill>
                    <w14:schemeClr w14:val="tx1"/>
                  </w14:solidFill>
                </w14:textFill>
              </w:rPr>
              <w:t>，车间内主要有制模区、制泥区、制釉区、成型区、上釉流水线(2条)、干燥区、检瓷区及1条30m 辊道窑</w:t>
            </w:r>
          </w:p>
        </w:tc>
        <w:tc>
          <w:tcPr>
            <w:tcW w:w="1792" w:type="dxa"/>
            <w:tcBorders>
              <w:tl2br w:val="nil"/>
              <w:tr2bl w:val="nil"/>
            </w:tcBorders>
            <w:vAlign w:val="center"/>
          </w:tcPr>
          <w:p w14:paraId="4BC60854">
            <w:pPr>
              <w:pStyle w:val="37"/>
              <w:spacing w:after="0"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与环评一致</w:t>
            </w:r>
          </w:p>
        </w:tc>
      </w:tr>
      <w:tr w14:paraId="1E05CA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continue"/>
            <w:tcBorders>
              <w:tl2br w:val="nil"/>
              <w:tr2bl w:val="nil"/>
            </w:tcBorders>
            <w:vAlign w:val="center"/>
          </w:tcPr>
          <w:p w14:paraId="2B8F6358">
            <w:pPr>
              <w:pStyle w:val="37"/>
              <w:spacing w:after="0"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1374" w:type="dxa"/>
            <w:tcBorders>
              <w:tl2br w:val="nil"/>
              <w:tr2bl w:val="nil"/>
            </w:tcBorders>
            <w:vAlign w:val="center"/>
          </w:tcPr>
          <w:p w14:paraId="2106BCA1">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lang w:val="en-US" w:eastAsia="zh-CN"/>
                <w14:textFill>
                  <w14:solidFill>
                    <w14:schemeClr w14:val="tx1"/>
                  </w14:solidFill>
                </w14:textFill>
              </w:rPr>
              <w:t>烤花车间</w:t>
            </w:r>
          </w:p>
        </w:tc>
        <w:tc>
          <w:tcPr>
            <w:tcW w:w="4902" w:type="dxa"/>
            <w:gridSpan w:val="2"/>
            <w:tcBorders>
              <w:tl2br w:val="nil"/>
              <w:tr2bl w:val="nil"/>
            </w:tcBorders>
            <w:vAlign w:val="center"/>
          </w:tcPr>
          <w:p w14:paraId="736B10D4">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jc w:val="center"/>
              <w:textAlignment w:val="auto"/>
              <w:rPr>
                <w:rFonts w:hint="default" w:ascii="Times New Roman" w:hAnsi="Times New Roman" w:eastAsia="宋体" w:cs="Times New Roman"/>
                <w:color w:val="000000" w:themeColor="text1"/>
                <w:sz w:val="21"/>
                <w:szCs w:val="21"/>
                <w:highlight w:val="none"/>
                <w:u w:val="none" w:color="auto"/>
                <w14:textFill>
                  <w14:solidFill>
                    <w14:schemeClr w14:val="tx1"/>
                  </w14:solidFill>
                </w14:textFill>
              </w:rPr>
            </w:pPr>
            <w:r>
              <w:rPr>
                <w:rFonts w:hint="default" w:ascii="Times New Roman" w:hAnsi="Times New Roman" w:eastAsia="宋体" w:cs="Times New Roman"/>
                <w:color w:val="000000" w:themeColor="text1"/>
                <w:sz w:val="21"/>
                <w:szCs w:val="21"/>
                <w:highlight w:val="none"/>
                <w:u w:val="none" w:color="auto"/>
                <w14:textFill>
                  <w14:solidFill>
                    <w14:schemeClr w14:val="tx1"/>
                  </w14:solidFill>
                </w14:textFill>
              </w:rPr>
              <w:t>1F，砖混结构，建筑面积2970m</w:t>
            </w:r>
            <w:r>
              <w:rPr>
                <w:rFonts w:hint="eastAsia" w:ascii="Times New Roman" w:hAnsi="Times New Roman" w:cs="Times New Roman"/>
                <w:color w:val="000000" w:themeColor="text1"/>
                <w:sz w:val="21"/>
                <w:szCs w:val="21"/>
                <w:highlight w:val="none"/>
                <w:u w:val="none" w:color="auto"/>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highlight w:val="none"/>
                <w:u w:val="none" w:color="auto"/>
                <w14:textFill>
                  <w14:solidFill>
                    <w14:schemeClr w14:val="tx1"/>
                  </w14:solidFill>
                </w14:textFill>
              </w:rPr>
              <w:t>，车间内主要分为贴花车间、包装车间、仓库及1条 42m 辊道烤花窑</w:t>
            </w:r>
            <w:r>
              <w:rPr>
                <w:rFonts w:hint="eastAsia" w:ascii="Times New Roman" w:hAnsi="Times New Roman" w:cs="Times New Roman"/>
                <w:color w:val="000000" w:themeColor="text1"/>
                <w:sz w:val="21"/>
                <w:szCs w:val="21"/>
                <w:highlight w:val="none"/>
                <w:u w:val="none" w:color="auto"/>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u w:val="none" w:color="auto"/>
                <w14:textFill>
                  <w14:solidFill>
                    <w14:schemeClr w14:val="tx1"/>
                  </w14:solidFill>
                </w14:textFill>
              </w:rPr>
              <w:t>位于厂区西部。</w:t>
            </w:r>
          </w:p>
        </w:tc>
        <w:tc>
          <w:tcPr>
            <w:tcW w:w="1792" w:type="dxa"/>
            <w:tcBorders>
              <w:tl2br w:val="nil"/>
              <w:tr2bl w:val="nil"/>
            </w:tcBorders>
            <w:vAlign w:val="center"/>
          </w:tcPr>
          <w:p w14:paraId="3B817B4C">
            <w:pPr>
              <w:pStyle w:val="37"/>
              <w:spacing w:after="0" w:line="240" w:lineRule="auto"/>
              <w:ind w:firstLine="0" w:firstLineChars="0"/>
              <w:jc w:val="center"/>
              <w:rPr>
                <w:rFonts w:hint="eastAsia" w:eastAsia="宋体" w:cs="Times New Roman"/>
                <w:color w:val="000000" w:themeColor="text1"/>
                <w:sz w:val="21"/>
                <w:szCs w:val="21"/>
                <w:lang w:val="en-US" w:eastAsia="zh-CN"/>
                <w14:textFill>
                  <w14:solidFill>
                    <w14:schemeClr w14:val="tx1"/>
                  </w14:solidFill>
                </w14:textFill>
              </w:rPr>
            </w:pPr>
            <w:r>
              <w:rPr>
                <w:rFonts w:hint="eastAsia" w:eastAsia="宋体" w:cs="Times New Roman"/>
                <w:b/>
                <w:bCs/>
                <w:color w:val="000000" w:themeColor="text1"/>
                <w:sz w:val="21"/>
                <w:szCs w:val="21"/>
                <w:lang w:val="en-US" w:eastAsia="zh-CN"/>
                <w14:textFill>
                  <w14:solidFill>
                    <w14:schemeClr w14:val="tx1"/>
                  </w14:solidFill>
                </w14:textFill>
              </w:rPr>
              <w:t>取消建设</w:t>
            </w:r>
          </w:p>
        </w:tc>
      </w:tr>
      <w:tr w14:paraId="0BDEA0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restart"/>
            <w:tcBorders>
              <w:tl2br w:val="nil"/>
              <w:tr2bl w:val="nil"/>
            </w:tcBorders>
            <w:vAlign w:val="center"/>
          </w:tcPr>
          <w:p w14:paraId="2C278E73">
            <w:pPr>
              <w:pStyle w:val="37"/>
              <w:spacing w:after="0"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辅助工程</w:t>
            </w:r>
          </w:p>
        </w:tc>
        <w:tc>
          <w:tcPr>
            <w:tcW w:w="1374" w:type="dxa"/>
            <w:tcBorders>
              <w:tl2br w:val="nil"/>
              <w:tr2bl w:val="nil"/>
            </w:tcBorders>
            <w:vAlign w:val="center"/>
          </w:tcPr>
          <w:p w14:paraId="3F215206">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办公室</w:t>
            </w:r>
          </w:p>
        </w:tc>
        <w:tc>
          <w:tcPr>
            <w:tcW w:w="4902" w:type="dxa"/>
            <w:gridSpan w:val="2"/>
            <w:tcBorders>
              <w:tl2br w:val="nil"/>
              <w:tr2bl w:val="nil"/>
            </w:tcBorders>
            <w:vAlign w:val="center"/>
          </w:tcPr>
          <w:p w14:paraId="11223F04">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面积 20</w:t>
            </w:r>
            <w:r>
              <w:rPr>
                <w:rFonts w:hint="default" w:ascii="Times New Roman" w:hAnsi="Times New Roman" w:eastAsia="宋体" w:cs="Times New Roman"/>
                <w:color w:val="000000" w:themeColor="text1"/>
                <w:sz w:val="21"/>
                <w:szCs w:val="21"/>
                <w:highlight w:val="none"/>
                <w:u w:val="none" w:color="auto"/>
                <w14:textFill>
                  <w14:solidFill>
                    <w14:schemeClr w14:val="tx1"/>
                  </w14:solidFill>
                </w14:textFill>
              </w:rPr>
              <w:t>m</w:t>
            </w:r>
            <w:r>
              <w:rPr>
                <w:rFonts w:hint="eastAsia" w:ascii="Times New Roman" w:hAnsi="Times New Roman" w:cs="Times New Roman"/>
                <w:color w:val="000000" w:themeColor="text1"/>
                <w:sz w:val="21"/>
                <w:szCs w:val="21"/>
                <w:highlight w:val="none"/>
                <w:u w:val="none" w:color="auto"/>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，位于白瓷生产车间西北部</w:t>
            </w:r>
          </w:p>
        </w:tc>
        <w:tc>
          <w:tcPr>
            <w:tcW w:w="1792" w:type="dxa"/>
            <w:tcBorders>
              <w:tl2br w:val="nil"/>
              <w:tr2bl w:val="nil"/>
            </w:tcBorders>
            <w:vAlign w:val="center"/>
          </w:tcPr>
          <w:p w14:paraId="6D8CEAF7">
            <w:pPr>
              <w:pStyle w:val="37"/>
              <w:spacing w:after="0"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与环评一致</w:t>
            </w:r>
          </w:p>
        </w:tc>
      </w:tr>
      <w:tr w14:paraId="486164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continue"/>
            <w:tcBorders>
              <w:tl2br w:val="nil"/>
              <w:tr2bl w:val="nil"/>
            </w:tcBorders>
            <w:vAlign w:val="center"/>
          </w:tcPr>
          <w:p w14:paraId="1F4C22AB">
            <w:pPr>
              <w:pStyle w:val="37"/>
              <w:spacing w:after="0"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1374" w:type="dxa"/>
            <w:tcBorders>
              <w:tl2br w:val="nil"/>
              <w:tr2bl w:val="nil"/>
            </w:tcBorders>
            <w:vAlign w:val="center"/>
          </w:tcPr>
          <w:p w14:paraId="20FFD582">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维修间</w:t>
            </w:r>
          </w:p>
        </w:tc>
        <w:tc>
          <w:tcPr>
            <w:tcW w:w="4902" w:type="dxa"/>
            <w:gridSpan w:val="2"/>
            <w:tcBorders>
              <w:tl2br w:val="nil"/>
              <w:tr2bl w:val="nil"/>
            </w:tcBorders>
            <w:vAlign w:val="center"/>
          </w:tcPr>
          <w:p w14:paraId="653872D9">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面积 20</w:t>
            </w:r>
            <w:r>
              <w:rPr>
                <w:rFonts w:hint="default" w:ascii="Times New Roman" w:hAnsi="Times New Roman" w:eastAsia="宋体" w:cs="Times New Roman"/>
                <w:color w:val="000000" w:themeColor="text1"/>
                <w:sz w:val="21"/>
                <w:szCs w:val="21"/>
                <w:highlight w:val="none"/>
                <w:u w:val="none" w:color="auto"/>
                <w14:textFill>
                  <w14:solidFill>
                    <w14:schemeClr w14:val="tx1"/>
                  </w14:solidFill>
                </w14:textFill>
              </w:rPr>
              <w:t>m</w:t>
            </w:r>
            <w:r>
              <w:rPr>
                <w:rFonts w:hint="eastAsia" w:ascii="Times New Roman" w:hAnsi="Times New Roman" w:cs="Times New Roman"/>
                <w:color w:val="000000" w:themeColor="text1"/>
                <w:sz w:val="21"/>
                <w:szCs w:val="21"/>
                <w:highlight w:val="none"/>
                <w:u w:val="none" w:color="auto"/>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，位于白瓷生产车间西南部</w:t>
            </w:r>
          </w:p>
        </w:tc>
        <w:tc>
          <w:tcPr>
            <w:tcW w:w="1792" w:type="dxa"/>
            <w:tcBorders>
              <w:tl2br w:val="nil"/>
              <w:tr2bl w:val="nil"/>
            </w:tcBorders>
            <w:vAlign w:val="center"/>
          </w:tcPr>
          <w:p w14:paraId="3872D420">
            <w:pPr>
              <w:spacing w:after="0"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与环评一致</w:t>
            </w:r>
          </w:p>
        </w:tc>
      </w:tr>
      <w:tr w14:paraId="21C673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restart"/>
            <w:tcBorders>
              <w:tl2br w:val="nil"/>
              <w:tr2bl w:val="nil"/>
            </w:tcBorders>
            <w:vAlign w:val="center"/>
          </w:tcPr>
          <w:p w14:paraId="4BD5837E">
            <w:pPr>
              <w:pStyle w:val="37"/>
              <w:spacing w:after="0"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储运</w:t>
            </w:r>
            <w:r>
              <w:rPr>
                <w:rFonts w:hint="default" w:ascii="Times New Roman" w:hAnsi="Times New Roman" w:eastAsia="宋体" w:cs="Times New Roman"/>
                <w:color w:val="000000" w:themeColor="text1"/>
                <w:sz w:val="21"/>
                <w:szCs w:val="21"/>
                <w14:textFill>
                  <w14:solidFill>
                    <w14:schemeClr w14:val="tx1"/>
                  </w14:solidFill>
                </w14:textFill>
              </w:rPr>
              <w:t>工程</w:t>
            </w:r>
          </w:p>
        </w:tc>
        <w:tc>
          <w:tcPr>
            <w:tcW w:w="1374" w:type="dxa"/>
            <w:tcBorders>
              <w:tl2br w:val="nil"/>
              <w:tr2bl w:val="nil"/>
            </w:tcBorders>
            <w:vAlign w:val="center"/>
          </w:tcPr>
          <w:p w14:paraId="72D49C65">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原料仓库</w:t>
            </w:r>
          </w:p>
        </w:tc>
        <w:tc>
          <w:tcPr>
            <w:tcW w:w="4902" w:type="dxa"/>
            <w:gridSpan w:val="2"/>
            <w:tcBorders>
              <w:tl2br w:val="nil"/>
              <w:tr2bl w:val="nil"/>
            </w:tcBorders>
            <w:vAlign w:val="center"/>
          </w:tcPr>
          <w:p w14:paraId="07D92FF6">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1F，砖混结构，建筑面积 600</w:t>
            </w:r>
            <w:r>
              <w:rPr>
                <w:rFonts w:hint="default" w:ascii="Times New Roman" w:hAnsi="Times New Roman" w:eastAsia="宋体" w:cs="Times New Roman"/>
                <w:color w:val="000000" w:themeColor="text1"/>
                <w:sz w:val="21"/>
                <w:szCs w:val="21"/>
                <w:highlight w:val="none"/>
                <w:u w:val="none" w:color="auto"/>
                <w14:textFill>
                  <w14:solidFill>
                    <w14:schemeClr w14:val="tx1"/>
                  </w14:solidFill>
                </w14:textFill>
              </w:rPr>
              <w:t>m</w:t>
            </w:r>
            <w:r>
              <w:rPr>
                <w:rFonts w:hint="eastAsia" w:ascii="Times New Roman" w:hAnsi="Times New Roman" w:cs="Times New Roman"/>
                <w:color w:val="000000" w:themeColor="text1"/>
                <w:sz w:val="21"/>
                <w:szCs w:val="21"/>
                <w:highlight w:val="none"/>
                <w:u w:val="none" w:color="auto"/>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，用于堆放泥料和釉料，位于厂区东北部</w:t>
            </w:r>
          </w:p>
        </w:tc>
        <w:tc>
          <w:tcPr>
            <w:tcW w:w="1792" w:type="dxa"/>
            <w:tcBorders>
              <w:tl2br w:val="nil"/>
              <w:tr2bl w:val="nil"/>
            </w:tcBorders>
            <w:vAlign w:val="center"/>
          </w:tcPr>
          <w:p w14:paraId="08C02A91">
            <w:pPr>
              <w:spacing w:after="0"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与环评一致</w:t>
            </w:r>
          </w:p>
        </w:tc>
      </w:tr>
      <w:tr w14:paraId="52F511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continue"/>
            <w:tcBorders>
              <w:tl2br w:val="nil"/>
              <w:tr2bl w:val="nil"/>
            </w:tcBorders>
            <w:vAlign w:val="center"/>
          </w:tcPr>
          <w:p w14:paraId="2F955DEE">
            <w:pPr>
              <w:pStyle w:val="37"/>
              <w:spacing w:after="0" w:line="240" w:lineRule="auto"/>
              <w:ind w:firstLine="0" w:firstLineChars="0"/>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p>
        </w:tc>
        <w:tc>
          <w:tcPr>
            <w:tcW w:w="1374" w:type="dxa"/>
            <w:tcBorders>
              <w:tl2br w:val="nil"/>
              <w:tr2bl w:val="nil"/>
            </w:tcBorders>
            <w:vAlign w:val="center"/>
          </w:tcPr>
          <w:p w14:paraId="3F7E97D0">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产品仓库</w:t>
            </w:r>
          </w:p>
        </w:tc>
        <w:tc>
          <w:tcPr>
            <w:tcW w:w="4902" w:type="dxa"/>
            <w:gridSpan w:val="2"/>
            <w:tcBorders>
              <w:tl2br w:val="nil"/>
              <w:tr2bl w:val="nil"/>
            </w:tcBorders>
            <w:vAlign w:val="center"/>
          </w:tcPr>
          <w:p w14:paraId="72794DD8">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面积 800</w:t>
            </w:r>
            <w:r>
              <w:rPr>
                <w:rFonts w:hint="default" w:ascii="Times New Roman" w:hAnsi="Times New Roman" w:eastAsia="宋体" w:cs="Times New Roman"/>
                <w:color w:val="000000" w:themeColor="text1"/>
                <w:sz w:val="21"/>
                <w:szCs w:val="21"/>
                <w:highlight w:val="none"/>
                <w:u w:val="none" w:color="auto"/>
                <w14:textFill>
                  <w14:solidFill>
                    <w14:schemeClr w14:val="tx1"/>
                  </w14:solidFill>
                </w14:textFill>
              </w:rPr>
              <w:t>m</w:t>
            </w:r>
            <w:r>
              <w:rPr>
                <w:rFonts w:hint="eastAsia" w:ascii="Times New Roman" w:hAnsi="Times New Roman" w:cs="Times New Roman"/>
                <w:color w:val="000000" w:themeColor="text1"/>
                <w:sz w:val="21"/>
                <w:szCs w:val="21"/>
                <w:highlight w:val="none"/>
                <w:u w:val="none" w:color="auto"/>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，位于烤花车间内</w:t>
            </w:r>
          </w:p>
        </w:tc>
        <w:tc>
          <w:tcPr>
            <w:tcW w:w="1792" w:type="dxa"/>
            <w:tcBorders>
              <w:tl2br w:val="nil"/>
              <w:tr2bl w:val="nil"/>
            </w:tcBorders>
            <w:vAlign w:val="center"/>
          </w:tcPr>
          <w:p w14:paraId="2278C570">
            <w:pPr>
              <w:spacing w:after="0" w:line="240" w:lineRule="auto"/>
              <w:ind w:firstLine="0" w:firstLineChars="0"/>
              <w:jc w:val="center"/>
              <w:rPr>
                <w:rFonts w:hint="default"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位于白瓷车间西侧</w:t>
            </w:r>
          </w:p>
        </w:tc>
      </w:tr>
      <w:tr w14:paraId="7E9E867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restart"/>
            <w:tcBorders>
              <w:tl2br w:val="nil"/>
              <w:tr2bl w:val="nil"/>
            </w:tcBorders>
            <w:vAlign w:val="center"/>
          </w:tcPr>
          <w:p w14:paraId="569E01EF">
            <w:pPr>
              <w:pStyle w:val="37"/>
              <w:spacing w:after="0"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公用工程</w:t>
            </w:r>
          </w:p>
        </w:tc>
        <w:tc>
          <w:tcPr>
            <w:tcW w:w="1374" w:type="dxa"/>
            <w:tcBorders>
              <w:tl2br w:val="nil"/>
              <w:tr2bl w:val="nil"/>
            </w:tcBorders>
            <w:vAlign w:val="center"/>
          </w:tcPr>
          <w:p w14:paraId="145AFFAC">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供配电</w:t>
            </w:r>
          </w:p>
        </w:tc>
        <w:tc>
          <w:tcPr>
            <w:tcW w:w="4902" w:type="dxa"/>
            <w:gridSpan w:val="2"/>
            <w:tcBorders>
              <w:tl2br w:val="nil"/>
              <w:tr2bl w:val="nil"/>
            </w:tcBorders>
            <w:vAlign w:val="center"/>
          </w:tcPr>
          <w:p w14:paraId="1C087F97">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烤花车间、白瓷生产车间分别设置有配电房，供电由外部变压器接入厂区配电房，再由配电房接入各用电工序。</w:t>
            </w:r>
          </w:p>
        </w:tc>
        <w:tc>
          <w:tcPr>
            <w:tcW w:w="1792" w:type="dxa"/>
            <w:tcBorders>
              <w:tl2br w:val="nil"/>
              <w:tr2bl w:val="nil"/>
            </w:tcBorders>
            <w:vAlign w:val="center"/>
          </w:tcPr>
          <w:p w14:paraId="50D9CDE9">
            <w:pPr>
              <w:spacing w:after="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与环评一致</w:t>
            </w:r>
          </w:p>
        </w:tc>
      </w:tr>
      <w:tr w14:paraId="629847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continue"/>
            <w:tcBorders>
              <w:tl2br w:val="nil"/>
              <w:tr2bl w:val="nil"/>
            </w:tcBorders>
            <w:vAlign w:val="center"/>
          </w:tcPr>
          <w:p w14:paraId="4B4B6F1F">
            <w:pPr>
              <w:pStyle w:val="37"/>
              <w:spacing w:after="0"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1374" w:type="dxa"/>
            <w:tcBorders>
              <w:tl2br w:val="nil"/>
              <w:tr2bl w:val="nil"/>
            </w:tcBorders>
            <w:vAlign w:val="center"/>
          </w:tcPr>
          <w:p w14:paraId="106D72F1">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给水系统</w:t>
            </w:r>
          </w:p>
        </w:tc>
        <w:tc>
          <w:tcPr>
            <w:tcW w:w="4902" w:type="dxa"/>
            <w:gridSpan w:val="2"/>
            <w:tcBorders>
              <w:tl2br w:val="nil"/>
              <w:tr2bl w:val="nil"/>
            </w:tcBorders>
            <w:vAlign w:val="center"/>
          </w:tcPr>
          <w:p w14:paraId="6ADE5D17">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使用城市自来水，用水由厂区外自来水管网接入，再输送至各用水工序。</w:t>
            </w:r>
          </w:p>
        </w:tc>
        <w:tc>
          <w:tcPr>
            <w:tcW w:w="1792" w:type="dxa"/>
            <w:tcBorders>
              <w:tl2br w:val="nil"/>
              <w:tr2bl w:val="nil"/>
            </w:tcBorders>
            <w:vAlign w:val="center"/>
          </w:tcPr>
          <w:p w14:paraId="4217CAA0">
            <w:pPr>
              <w:spacing w:after="0"/>
              <w:jc w:val="center"/>
              <w:rPr>
                <w:rFonts w:hint="default" w:ascii="Times New Roman" w:hAnsi="Times New Roman" w:eastAsia="宋体" w:cs="Times New Roman"/>
                <w:color w:val="auto"/>
                <w:sz w:val="21"/>
                <w:szCs w:val="21"/>
              </w:rPr>
            </w:pPr>
            <w:r>
              <w:rPr>
                <w:rFonts w:hint="eastAsia" w:eastAsia="宋体" w:cs="Times New Roman"/>
                <w:color w:val="auto"/>
                <w:sz w:val="21"/>
                <w:szCs w:val="21"/>
                <w:lang w:val="en-US" w:eastAsia="zh-CN"/>
              </w:rPr>
              <w:t>与环评一致</w:t>
            </w:r>
          </w:p>
        </w:tc>
      </w:tr>
      <w:tr w14:paraId="68B6E8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continue"/>
            <w:tcBorders>
              <w:tl2br w:val="nil"/>
              <w:tr2bl w:val="nil"/>
            </w:tcBorders>
            <w:vAlign w:val="center"/>
          </w:tcPr>
          <w:p w14:paraId="4AC8D14D">
            <w:pPr>
              <w:pStyle w:val="37"/>
              <w:spacing w:after="0"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1374" w:type="dxa"/>
            <w:tcBorders>
              <w:tl2br w:val="nil"/>
              <w:tr2bl w:val="nil"/>
            </w:tcBorders>
            <w:vAlign w:val="center"/>
          </w:tcPr>
          <w:p w14:paraId="1E67B301">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排水系统</w:t>
            </w:r>
          </w:p>
        </w:tc>
        <w:tc>
          <w:tcPr>
            <w:tcW w:w="4902" w:type="dxa"/>
            <w:gridSpan w:val="2"/>
            <w:tcBorders>
              <w:tl2br w:val="nil"/>
              <w:tr2bl w:val="nil"/>
            </w:tcBorders>
            <w:vAlign w:val="center"/>
          </w:tcPr>
          <w:p w14:paraId="592CB719">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雨污分流，污污分流。雨水由厂区雨水沟渠排出，生产废水经废水站处理站絮凝沉淀处理达标后，90%回用于生产，剩余10%排入周边污水管网，通过王仙镇集中排污口排入店香河，生活污水经地埋式一体化处理设施处理后排入东面店香河。</w:t>
            </w:r>
          </w:p>
        </w:tc>
        <w:tc>
          <w:tcPr>
            <w:tcW w:w="1792" w:type="dxa"/>
            <w:tcBorders>
              <w:tl2br w:val="nil"/>
              <w:tr2bl w:val="nil"/>
            </w:tcBorders>
            <w:vAlign w:val="center"/>
          </w:tcPr>
          <w:p w14:paraId="2CD27B05">
            <w:pPr>
              <w:spacing w:after="0"/>
              <w:jc w:val="center"/>
              <w:rPr>
                <w:rFonts w:hint="default" w:eastAsia="宋体" w:cs="Times New Roman"/>
                <w:color w:val="auto"/>
                <w:sz w:val="21"/>
                <w:szCs w:val="21"/>
                <w:lang w:val="en-US" w:eastAsia="zh-CN"/>
              </w:rPr>
            </w:pPr>
            <w:r>
              <w:rPr>
                <w:rFonts w:hint="eastAsia" w:eastAsia="宋体" w:cs="Times New Roman"/>
                <w:color w:val="auto"/>
                <w:sz w:val="21"/>
                <w:szCs w:val="21"/>
                <w:lang w:val="en-US" w:eastAsia="zh-CN"/>
              </w:rPr>
              <w:t>雨水及生产废水处理方式与环评一致，生活污水经四格化粪池处理后外排</w:t>
            </w:r>
          </w:p>
        </w:tc>
      </w:tr>
      <w:tr w14:paraId="29FDE0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continue"/>
            <w:tcBorders>
              <w:tl2br w:val="nil"/>
              <w:tr2bl w:val="nil"/>
            </w:tcBorders>
            <w:vAlign w:val="center"/>
          </w:tcPr>
          <w:p w14:paraId="304B548A">
            <w:pPr>
              <w:pStyle w:val="37"/>
              <w:spacing w:after="0"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1374" w:type="dxa"/>
            <w:tcBorders>
              <w:tl2br w:val="nil"/>
              <w:tr2bl w:val="nil"/>
            </w:tcBorders>
            <w:vAlign w:val="center"/>
          </w:tcPr>
          <w:p w14:paraId="76ADFE9F">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供气系统</w:t>
            </w:r>
          </w:p>
        </w:tc>
        <w:tc>
          <w:tcPr>
            <w:tcW w:w="4902" w:type="dxa"/>
            <w:gridSpan w:val="2"/>
            <w:tcBorders>
              <w:tl2br w:val="nil"/>
              <w:tr2bl w:val="nil"/>
            </w:tcBorders>
            <w:vAlign w:val="center"/>
          </w:tcPr>
          <w:p w14:paraId="4DDE66C1">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天然气由醴陵市燃气公司供应，由厂区外铺设的燃气管网接入。</w:t>
            </w:r>
          </w:p>
        </w:tc>
        <w:tc>
          <w:tcPr>
            <w:tcW w:w="1792" w:type="dxa"/>
            <w:tcBorders>
              <w:tl2br w:val="nil"/>
              <w:tr2bl w:val="nil"/>
            </w:tcBorders>
            <w:vAlign w:val="center"/>
          </w:tcPr>
          <w:p w14:paraId="2B0806F2">
            <w:pPr>
              <w:spacing w:after="0"/>
              <w:jc w:val="center"/>
              <w:rPr>
                <w:rFonts w:hint="default" w:ascii="Times New Roman" w:hAnsi="Times New Roman" w:eastAsia="宋体" w:cs="Times New Roman"/>
                <w:color w:val="auto"/>
                <w:sz w:val="21"/>
                <w:szCs w:val="21"/>
                <w:lang w:val="en-US" w:eastAsia="zh-CN"/>
              </w:rPr>
            </w:pPr>
            <w:r>
              <w:rPr>
                <w:rFonts w:hint="eastAsia" w:eastAsia="宋体" w:cs="Times New Roman"/>
                <w:color w:val="000000" w:themeColor="text1"/>
                <w:sz w:val="21"/>
                <w:szCs w:val="21"/>
                <w:lang w:val="en-US" w:eastAsia="zh-CN"/>
                <w14:textFill>
                  <w14:solidFill>
                    <w14:schemeClr w14:val="tx1"/>
                  </w14:solidFill>
                </w14:textFill>
              </w:rPr>
              <w:t>与环评一致</w:t>
            </w:r>
          </w:p>
        </w:tc>
      </w:tr>
      <w:tr w14:paraId="6245E5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restart"/>
            <w:tcBorders>
              <w:tl2br w:val="nil"/>
              <w:tr2bl w:val="nil"/>
            </w:tcBorders>
            <w:vAlign w:val="center"/>
          </w:tcPr>
          <w:p w14:paraId="7DA50C71">
            <w:pPr>
              <w:pStyle w:val="37"/>
              <w:spacing w:after="0"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p>
          <w:p w14:paraId="5C4BE588">
            <w:pPr>
              <w:pStyle w:val="37"/>
              <w:spacing w:after="0"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环保工程</w:t>
            </w:r>
          </w:p>
        </w:tc>
        <w:tc>
          <w:tcPr>
            <w:tcW w:w="1374" w:type="dxa"/>
            <w:vMerge w:val="restart"/>
            <w:tcBorders>
              <w:tl2br w:val="nil"/>
              <w:tr2bl w:val="nil"/>
            </w:tcBorders>
            <w:vAlign w:val="center"/>
          </w:tcPr>
          <w:p w14:paraId="2EE9D8D3">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spacing w:val="8"/>
                <w:sz w:val="21"/>
                <w:szCs w:val="21"/>
                <w:u w:val="none" w:color="auto"/>
              </w:rPr>
              <w:t>废水处理措施</w:t>
            </w:r>
          </w:p>
        </w:tc>
        <w:tc>
          <w:tcPr>
            <w:tcW w:w="1401" w:type="dxa"/>
            <w:tcBorders>
              <w:tl2br w:val="nil"/>
              <w:tr2bl w:val="nil"/>
            </w:tcBorders>
            <w:vAlign w:val="center"/>
          </w:tcPr>
          <w:p w14:paraId="1A1BD5CE">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压滤废水</w:t>
            </w:r>
          </w:p>
        </w:tc>
        <w:tc>
          <w:tcPr>
            <w:tcW w:w="3501" w:type="dxa"/>
            <w:tcBorders>
              <w:tl2br w:val="nil"/>
              <w:tr2bl w:val="nil"/>
            </w:tcBorders>
            <w:vAlign w:val="center"/>
          </w:tcPr>
          <w:p w14:paraId="7F2A8DA1">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经沉淀池处理后直接回用于球磨工序，压滤废水沉淀池20m</w:t>
            </w:r>
            <w:r>
              <w:rPr>
                <w:rFonts w:hint="eastAsia" w:ascii="Times New Roman" w:hAnsi="Times New Roman" w:eastAsia="宋体" w:cs="Times New Roman"/>
                <w:color w:val="000000" w:themeColor="text1"/>
                <w:sz w:val="21"/>
                <w:szCs w:val="21"/>
                <w:highlight w:val="none"/>
                <w:u w:val="none" w:color="auto"/>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w:t>
            </w:r>
          </w:p>
        </w:tc>
        <w:tc>
          <w:tcPr>
            <w:tcW w:w="1792" w:type="dxa"/>
            <w:tcBorders>
              <w:tl2br w:val="nil"/>
              <w:tr2bl w:val="nil"/>
            </w:tcBorders>
            <w:vAlign w:val="center"/>
          </w:tcPr>
          <w:p w14:paraId="49491FF4">
            <w:pPr>
              <w:spacing w:after="0"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eastAsia="宋体" w:cs="Times New Roman"/>
                <w:color w:val="000000" w:themeColor="text1"/>
                <w:sz w:val="21"/>
                <w:szCs w:val="21"/>
                <w:lang w:val="en-US" w:eastAsia="zh-CN"/>
                <w14:textFill>
                  <w14:solidFill>
                    <w14:schemeClr w14:val="tx1"/>
                  </w14:solidFill>
                </w14:textFill>
              </w:rPr>
              <w:t>与环评一致</w:t>
            </w:r>
          </w:p>
        </w:tc>
      </w:tr>
      <w:tr w14:paraId="22D699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continue"/>
            <w:tcBorders>
              <w:tl2br w:val="nil"/>
              <w:tr2bl w:val="nil"/>
            </w:tcBorders>
            <w:vAlign w:val="center"/>
          </w:tcPr>
          <w:p w14:paraId="68B99079">
            <w:pPr>
              <w:pStyle w:val="37"/>
              <w:spacing w:after="0" w:line="240" w:lineRule="auto"/>
              <w:ind w:firstLine="0" w:firstLineChars="0"/>
              <w:jc w:val="center"/>
            </w:pPr>
          </w:p>
        </w:tc>
        <w:tc>
          <w:tcPr>
            <w:tcW w:w="1374" w:type="dxa"/>
            <w:vMerge w:val="continue"/>
            <w:tcBorders>
              <w:tl2br w:val="nil"/>
              <w:tr2bl w:val="nil"/>
            </w:tcBorders>
            <w:vAlign w:val="center"/>
          </w:tcPr>
          <w:p w14:paraId="614EB5EE">
            <w:pPr>
              <w:pStyle w:val="37"/>
              <w:spacing w:after="0" w:line="240" w:lineRule="auto"/>
              <w:ind w:firstLine="0" w:firstLineChars="0"/>
              <w:jc w:val="center"/>
            </w:pPr>
          </w:p>
        </w:tc>
        <w:tc>
          <w:tcPr>
            <w:tcW w:w="1401" w:type="dxa"/>
            <w:tcBorders>
              <w:tl2br w:val="nil"/>
              <w:tr2bl w:val="nil"/>
            </w:tcBorders>
            <w:vAlign w:val="center"/>
          </w:tcPr>
          <w:p w14:paraId="04C98911">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制釉设备清洗废水</w:t>
            </w:r>
          </w:p>
        </w:tc>
        <w:tc>
          <w:tcPr>
            <w:tcW w:w="3501" w:type="dxa"/>
            <w:tcBorders>
              <w:tl2br w:val="nil"/>
              <w:tr2bl w:val="nil"/>
            </w:tcBorders>
            <w:vAlign w:val="center"/>
          </w:tcPr>
          <w:p w14:paraId="5C248149">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制釉废水经车间内沉淀池处理达标后回用于制釉，沉淀池2m</w:t>
            </w:r>
            <w:r>
              <w:rPr>
                <w:rFonts w:hint="eastAsia" w:ascii="Times New Roman" w:hAnsi="Times New Roman" w:eastAsia="宋体" w:cs="Times New Roman"/>
                <w:color w:val="000000" w:themeColor="text1"/>
                <w:sz w:val="21"/>
                <w:szCs w:val="21"/>
                <w:highlight w:val="none"/>
                <w:u w:val="none" w:color="auto"/>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w:t>
            </w:r>
          </w:p>
        </w:tc>
        <w:tc>
          <w:tcPr>
            <w:tcW w:w="1792" w:type="dxa"/>
            <w:tcBorders>
              <w:tl2br w:val="nil"/>
              <w:tr2bl w:val="nil"/>
            </w:tcBorders>
            <w:vAlign w:val="center"/>
          </w:tcPr>
          <w:p w14:paraId="06516CD1">
            <w:pPr>
              <w:spacing w:after="0" w:line="240" w:lineRule="auto"/>
              <w:ind w:firstLine="0" w:firstLineChars="0"/>
              <w:jc w:val="center"/>
              <w:rPr>
                <w:rFonts w:hint="default" w:ascii="Times New Roman" w:hAnsi="Times New Roman" w:eastAsia="宋体" w:cs="Times New Roman"/>
                <w:color w:val="auto"/>
                <w:sz w:val="21"/>
                <w:szCs w:val="21"/>
                <w:u w:val="none" w:color="auto"/>
                <w:lang w:val="en-US" w:eastAsia="zh-CN"/>
              </w:rPr>
            </w:pPr>
            <w:r>
              <w:rPr>
                <w:rFonts w:hint="eastAsia" w:eastAsia="宋体" w:cs="Times New Roman"/>
                <w:color w:val="000000" w:themeColor="text1"/>
                <w:sz w:val="21"/>
                <w:szCs w:val="21"/>
                <w:lang w:val="en-US" w:eastAsia="zh-CN"/>
                <w14:textFill>
                  <w14:solidFill>
                    <w14:schemeClr w14:val="tx1"/>
                  </w14:solidFill>
                </w14:textFill>
              </w:rPr>
              <w:t>与环评一致</w:t>
            </w:r>
          </w:p>
        </w:tc>
      </w:tr>
      <w:tr w14:paraId="28FAEF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continue"/>
            <w:tcBorders>
              <w:tl2br w:val="nil"/>
              <w:tr2bl w:val="nil"/>
            </w:tcBorders>
            <w:vAlign w:val="center"/>
          </w:tcPr>
          <w:p w14:paraId="14CC163A">
            <w:pPr>
              <w:pStyle w:val="37"/>
              <w:spacing w:after="0" w:line="240" w:lineRule="auto"/>
              <w:ind w:firstLine="0" w:firstLineChars="0"/>
              <w:jc w:val="center"/>
              <w:rPr>
                <w:rFonts w:hint="default" w:ascii="Times New Roman" w:hAnsi="Times New Roman" w:eastAsia="宋体" w:cs="Times New Roman"/>
                <w:color w:val="auto"/>
                <w:sz w:val="21"/>
                <w:szCs w:val="21"/>
                <w:u w:val="none" w:color="auto"/>
                <w:lang w:val="en-US" w:eastAsia="zh-CN"/>
              </w:rPr>
            </w:pPr>
          </w:p>
        </w:tc>
        <w:tc>
          <w:tcPr>
            <w:tcW w:w="1374" w:type="dxa"/>
            <w:vMerge w:val="continue"/>
            <w:tcBorders>
              <w:tl2br w:val="nil"/>
              <w:tr2bl w:val="nil"/>
            </w:tcBorders>
            <w:vAlign w:val="center"/>
          </w:tcPr>
          <w:p w14:paraId="23A79123">
            <w:pPr>
              <w:pStyle w:val="37"/>
              <w:spacing w:after="0" w:line="240" w:lineRule="auto"/>
              <w:ind w:firstLine="0" w:firstLineChars="0"/>
              <w:jc w:val="center"/>
              <w:rPr>
                <w:rFonts w:hint="default" w:ascii="Times New Roman" w:hAnsi="Times New Roman" w:eastAsia="宋体" w:cs="Times New Roman"/>
                <w:color w:val="auto"/>
                <w:sz w:val="21"/>
                <w:szCs w:val="21"/>
                <w:u w:val="none" w:color="auto"/>
                <w:lang w:val="en-US" w:eastAsia="zh-CN"/>
              </w:rPr>
            </w:pPr>
          </w:p>
        </w:tc>
        <w:tc>
          <w:tcPr>
            <w:tcW w:w="1401" w:type="dxa"/>
            <w:tcBorders>
              <w:tl2br w:val="nil"/>
              <w:tr2bl w:val="nil"/>
            </w:tcBorders>
            <w:vAlign w:val="center"/>
          </w:tcPr>
          <w:p w14:paraId="2B71898B">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制模间清洗废水</w:t>
            </w:r>
          </w:p>
        </w:tc>
        <w:tc>
          <w:tcPr>
            <w:tcW w:w="3501" w:type="dxa"/>
            <w:vMerge w:val="restart"/>
            <w:tcBorders>
              <w:tl2br w:val="nil"/>
              <w:tr2bl w:val="nil"/>
            </w:tcBorders>
            <w:vAlign w:val="center"/>
          </w:tcPr>
          <w:p w14:paraId="3441190F">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收集进入厂区废水处理站(30m</w:t>
            </w:r>
            <w:r>
              <w:rPr>
                <w:rFonts w:hint="eastAsia" w:ascii="Times New Roman" w:hAnsi="Times New Roman" w:eastAsia="宋体" w:cs="Times New Roman"/>
                <w:color w:val="000000" w:themeColor="text1"/>
                <w:sz w:val="21"/>
                <w:szCs w:val="21"/>
                <w:highlight w:val="none"/>
                <w:u w:val="none" w:color="auto"/>
                <w:vertAlign w:val="superscript"/>
                <w:lang w:val="en-US" w:eastAsia="zh-CN"/>
                <w14:textFill>
                  <w14:solidFill>
                    <w14:schemeClr w14:val="tx1"/>
                  </w14:solidFill>
                </w14:textFill>
              </w:rPr>
              <w:t>3</w:t>
            </w: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/d，采用絮凝沉淀工艺处理达标后，90%回用于生产，剩余10%排入周边污水管网，通过王仙镇集中排污口排入店香河。</w:t>
            </w:r>
          </w:p>
        </w:tc>
        <w:tc>
          <w:tcPr>
            <w:tcW w:w="1792" w:type="dxa"/>
            <w:tcBorders>
              <w:tl2br w:val="nil"/>
              <w:tr2bl w:val="nil"/>
            </w:tcBorders>
            <w:vAlign w:val="center"/>
          </w:tcPr>
          <w:p w14:paraId="341E3770">
            <w:pPr>
              <w:spacing w:after="0" w:line="240" w:lineRule="auto"/>
              <w:ind w:firstLine="0" w:firstLineChars="0"/>
              <w:jc w:val="center"/>
              <w:rPr>
                <w:rFonts w:hint="default" w:ascii="Times New Roman" w:hAnsi="Times New Roman" w:eastAsia="宋体" w:cs="Times New Roman"/>
                <w:color w:val="auto"/>
                <w:sz w:val="21"/>
                <w:szCs w:val="21"/>
                <w:u w:val="none" w:color="auto"/>
                <w:lang w:val="en-US" w:eastAsia="zh-CN"/>
              </w:rPr>
            </w:pPr>
            <w:r>
              <w:rPr>
                <w:rFonts w:hint="eastAsia" w:eastAsia="宋体" w:cs="Times New Roman"/>
                <w:color w:val="000000" w:themeColor="text1"/>
                <w:sz w:val="21"/>
                <w:szCs w:val="21"/>
                <w:lang w:val="en-US" w:eastAsia="zh-CN"/>
                <w14:textFill>
                  <w14:solidFill>
                    <w14:schemeClr w14:val="tx1"/>
                  </w14:solidFill>
                </w14:textFill>
              </w:rPr>
              <w:t>与环评一致</w:t>
            </w:r>
          </w:p>
        </w:tc>
      </w:tr>
      <w:tr w14:paraId="6548CB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continue"/>
            <w:tcBorders>
              <w:tl2br w:val="nil"/>
              <w:tr2bl w:val="nil"/>
            </w:tcBorders>
            <w:vAlign w:val="center"/>
          </w:tcPr>
          <w:p w14:paraId="68F18338">
            <w:pPr>
              <w:pStyle w:val="37"/>
              <w:spacing w:after="0" w:line="240" w:lineRule="auto"/>
              <w:ind w:firstLine="0" w:firstLineChars="0"/>
              <w:jc w:val="center"/>
              <w:rPr>
                <w:rFonts w:hint="default" w:ascii="Times New Roman" w:hAnsi="Times New Roman" w:eastAsia="宋体" w:cs="Times New Roman"/>
                <w:color w:val="auto"/>
                <w:sz w:val="21"/>
                <w:szCs w:val="21"/>
                <w:u w:val="none" w:color="auto"/>
                <w:lang w:val="en-US" w:eastAsia="zh-CN"/>
              </w:rPr>
            </w:pPr>
          </w:p>
        </w:tc>
        <w:tc>
          <w:tcPr>
            <w:tcW w:w="1374" w:type="dxa"/>
            <w:vMerge w:val="continue"/>
            <w:tcBorders>
              <w:tl2br w:val="nil"/>
              <w:tr2bl w:val="nil"/>
            </w:tcBorders>
            <w:vAlign w:val="center"/>
          </w:tcPr>
          <w:p w14:paraId="64F76141">
            <w:pPr>
              <w:pStyle w:val="37"/>
              <w:spacing w:after="0" w:line="240" w:lineRule="auto"/>
              <w:ind w:firstLine="0" w:firstLineChars="0"/>
              <w:jc w:val="center"/>
              <w:rPr>
                <w:rFonts w:hint="default" w:ascii="Times New Roman" w:hAnsi="Times New Roman" w:eastAsia="宋体" w:cs="Times New Roman"/>
                <w:color w:val="auto"/>
                <w:sz w:val="21"/>
                <w:szCs w:val="21"/>
                <w:u w:val="none" w:color="auto"/>
                <w:lang w:val="en-US" w:eastAsia="zh-CN"/>
              </w:rPr>
            </w:pPr>
          </w:p>
        </w:tc>
        <w:tc>
          <w:tcPr>
            <w:tcW w:w="1401" w:type="dxa"/>
            <w:tcBorders>
              <w:tl2br w:val="nil"/>
              <w:tr2bl w:val="nil"/>
            </w:tcBorders>
            <w:vAlign w:val="center"/>
          </w:tcPr>
          <w:p w14:paraId="4DE6A6FB">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精坯洗坯废水</w:t>
            </w:r>
          </w:p>
        </w:tc>
        <w:tc>
          <w:tcPr>
            <w:tcW w:w="3501" w:type="dxa"/>
            <w:vMerge w:val="continue"/>
            <w:tcBorders>
              <w:tl2br w:val="nil"/>
              <w:tr2bl w:val="nil"/>
            </w:tcBorders>
            <w:vAlign w:val="center"/>
          </w:tcPr>
          <w:p w14:paraId="19190857">
            <w:pPr>
              <w:pStyle w:val="37"/>
              <w:spacing w:after="0" w:line="240" w:lineRule="auto"/>
              <w:ind w:firstLine="0" w:firstLineChars="0"/>
              <w:jc w:val="center"/>
              <w:rPr>
                <w:rFonts w:hint="default" w:ascii="Times New Roman" w:hAnsi="Times New Roman" w:eastAsia="宋体" w:cs="Times New Roman"/>
                <w:color w:val="auto"/>
                <w:sz w:val="21"/>
                <w:szCs w:val="21"/>
                <w:u w:val="none" w:color="auto"/>
                <w:lang w:val="en-US" w:eastAsia="zh-CN"/>
              </w:rPr>
            </w:pPr>
          </w:p>
        </w:tc>
        <w:tc>
          <w:tcPr>
            <w:tcW w:w="1792" w:type="dxa"/>
            <w:tcBorders>
              <w:tl2br w:val="nil"/>
              <w:tr2bl w:val="nil"/>
            </w:tcBorders>
            <w:vAlign w:val="center"/>
          </w:tcPr>
          <w:p w14:paraId="17A89659">
            <w:pPr>
              <w:spacing w:after="0" w:line="240" w:lineRule="auto"/>
              <w:ind w:firstLine="0" w:firstLineChars="0"/>
              <w:jc w:val="center"/>
              <w:rPr>
                <w:rFonts w:hint="default" w:ascii="Times New Roman" w:hAnsi="Times New Roman" w:eastAsia="宋体" w:cs="Times New Roman"/>
                <w:color w:val="auto"/>
                <w:sz w:val="21"/>
                <w:szCs w:val="21"/>
                <w:u w:val="none" w:color="auto"/>
                <w:lang w:val="en-US" w:eastAsia="zh-CN"/>
              </w:rPr>
            </w:pPr>
            <w:r>
              <w:rPr>
                <w:rFonts w:hint="eastAsia" w:eastAsia="宋体" w:cs="Times New Roman"/>
                <w:color w:val="000000" w:themeColor="text1"/>
                <w:sz w:val="21"/>
                <w:szCs w:val="21"/>
                <w:lang w:val="en-US" w:eastAsia="zh-CN"/>
                <w14:textFill>
                  <w14:solidFill>
                    <w14:schemeClr w14:val="tx1"/>
                  </w14:solidFill>
                </w14:textFill>
              </w:rPr>
              <w:t>与环评一致</w:t>
            </w:r>
          </w:p>
        </w:tc>
      </w:tr>
      <w:tr w14:paraId="32EA01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continue"/>
            <w:tcBorders>
              <w:tl2br w:val="nil"/>
              <w:tr2bl w:val="nil"/>
            </w:tcBorders>
            <w:vAlign w:val="center"/>
          </w:tcPr>
          <w:p w14:paraId="48B2FEAE">
            <w:pPr>
              <w:pStyle w:val="37"/>
              <w:spacing w:after="0" w:line="240" w:lineRule="auto"/>
              <w:ind w:firstLine="0" w:firstLineChars="0"/>
              <w:jc w:val="center"/>
              <w:rPr>
                <w:rFonts w:hint="default" w:ascii="Times New Roman" w:hAnsi="Times New Roman" w:eastAsia="宋体" w:cs="Times New Roman"/>
                <w:color w:val="auto"/>
                <w:sz w:val="21"/>
                <w:szCs w:val="21"/>
                <w:u w:val="none" w:color="auto"/>
                <w:lang w:val="en-US" w:eastAsia="zh-CN"/>
              </w:rPr>
            </w:pPr>
          </w:p>
        </w:tc>
        <w:tc>
          <w:tcPr>
            <w:tcW w:w="1374" w:type="dxa"/>
            <w:vMerge w:val="continue"/>
            <w:tcBorders>
              <w:tl2br w:val="nil"/>
              <w:tr2bl w:val="nil"/>
            </w:tcBorders>
            <w:vAlign w:val="center"/>
          </w:tcPr>
          <w:p w14:paraId="5E4ADDE4">
            <w:pPr>
              <w:pStyle w:val="37"/>
              <w:spacing w:after="0" w:line="240" w:lineRule="auto"/>
              <w:ind w:firstLine="0" w:firstLineChars="0"/>
              <w:jc w:val="center"/>
              <w:rPr>
                <w:rFonts w:hint="default" w:ascii="Times New Roman" w:hAnsi="Times New Roman" w:eastAsia="宋体" w:cs="Times New Roman"/>
                <w:color w:val="auto"/>
                <w:sz w:val="21"/>
                <w:szCs w:val="21"/>
                <w:u w:val="none" w:color="auto"/>
                <w:lang w:val="en-US" w:eastAsia="zh-CN"/>
              </w:rPr>
            </w:pPr>
          </w:p>
        </w:tc>
        <w:tc>
          <w:tcPr>
            <w:tcW w:w="1401" w:type="dxa"/>
            <w:tcBorders>
              <w:tl2br w:val="nil"/>
              <w:tr2bl w:val="nil"/>
            </w:tcBorders>
            <w:vAlign w:val="center"/>
          </w:tcPr>
          <w:p w14:paraId="79EC720F">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车间地面冲洗废水</w:t>
            </w:r>
          </w:p>
        </w:tc>
        <w:tc>
          <w:tcPr>
            <w:tcW w:w="3501" w:type="dxa"/>
            <w:vMerge w:val="continue"/>
            <w:tcBorders>
              <w:tl2br w:val="nil"/>
              <w:tr2bl w:val="nil"/>
            </w:tcBorders>
            <w:vAlign w:val="center"/>
          </w:tcPr>
          <w:p w14:paraId="132540A5">
            <w:pPr>
              <w:pStyle w:val="37"/>
              <w:spacing w:after="0" w:line="240" w:lineRule="auto"/>
              <w:ind w:firstLine="0" w:firstLineChars="0"/>
              <w:jc w:val="center"/>
              <w:rPr>
                <w:rFonts w:hint="default" w:ascii="Times New Roman" w:hAnsi="Times New Roman" w:eastAsia="宋体" w:cs="Times New Roman"/>
                <w:color w:val="auto"/>
                <w:sz w:val="21"/>
                <w:szCs w:val="21"/>
                <w:u w:val="none" w:color="auto"/>
                <w:lang w:val="en-US" w:eastAsia="zh-CN"/>
              </w:rPr>
            </w:pPr>
          </w:p>
        </w:tc>
        <w:tc>
          <w:tcPr>
            <w:tcW w:w="1792" w:type="dxa"/>
            <w:tcBorders>
              <w:tl2br w:val="nil"/>
              <w:tr2bl w:val="nil"/>
            </w:tcBorders>
            <w:vAlign w:val="center"/>
          </w:tcPr>
          <w:p w14:paraId="3BC34783">
            <w:pPr>
              <w:spacing w:after="0" w:line="240" w:lineRule="auto"/>
              <w:ind w:firstLine="0" w:firstLineChars="0"/>
              <w:jc w:val="center"/>
              <w:rPr>
                <w:rFonts w:hint="default" w:ascii="Times New Roman" w:hAnsi="Times New Roman" w:eastAsia="宋体" w:cs="Times New Roman"/>
                <w:color w:val="auto"/>
                <w:sz w:val="21"/>
                <w:szCs w:val="21"/>
                <w:u w:val="none" w:color="auto"/>
                <w:lang w:val="en-US" w:eastAsia="zh-CN"/>
              </w:rPr>
            </w:pPr>
            <w:r>
              <w:rPr>
                <w:rFonts w:hint="eastAsia" w:eastAsia="宋体" w:cs="Times New Roman"/>
                <w:color w:val="000000" w:themeColor="text1"/>
                <w:sz w:val="21"/>
                <w:szCs w:val="21"/>
                <w:lang w:val="en-US" w:eastAsia="zh-CN"/>
                <w14:textFill>
                  <w14:solidFill>
                    <w14:schemeClr w14:val="tx1"/>
                  </w14:solidFill>
                </w14:textFill>
              </w:rPr>
              <w:t>与环评一致</w:t>
            </w:r>
          </w:p>
        </w:tc>
      </w:tr>
      <w:tr w14:paraId="235BF1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continue"/>
            <w:tcBorders>
              <w:tl2br w:val="nil"/>
              <w:tr2bl w:val="nil"/>
            </w:tcBorders>
            <w:vAlign w:val="center"/>
          </w:tcPr>
          <w:p w14:paraId="2ADD6890">
            <w:pPr>
              <w:pStyle w:val="37"/>
              <w:spacing w:after="0" w:line="240" w:lineRule="auto"/>
              <w:ind w:firstLine="0" w:firstLineChars="0"/>
              <w:jc w:val="center"/>
              <w:rPr>
                <w:rFonts w:hint="default" w:ascii="Times New Roman" w:hAnsi="Times New Roman" w:eastAsia="宋体" w:cs="Times New Roman"/>
                <w:color w:val="auto"/>
                <w:sz w:val="21"/>
                <w:szCs w:val="21"/>
                <w:u w:val="none" w:color="auto"/>
                <w:lang w:val="en-US" w:eastAsia="zh-CN"/>
              </w:rPr>
            </w:pPr>
          </w:p>
        </w:tc>
        <w:tc>
          <w:tcPr>
            <w:tcW w:w="1374" w:type="dxa"/>
            <w:vMerge w:val="continue"/>
            <w:tcBorders>
              <w:tl2br w:val="nil"/>
              <w:tr2bl w:val="nil"/>
            </w:tcBorders>
            <w:vAlign w:val="center"/>
          </w:tcPr>
          <w:p w14:paraId="7A08B586">
            <w:pPr>
              <w:pStyle w:val="37"/>
              <w:spacing w:after="0" w:line="240" w:lineRule="auto"/>
              <w:ind w:firstLine="0" w:firstLineChars="0"/>
              <w:jc w:val="center"/>
              <w:rPr>
                <w:rFonts w:hint="default" w:ascii="Times New Roman" w:hAnsi="Times New Roman" w:eastAsia="宋体" w:cs="Times New Roman"/>
                <w:color w:val="auto"/>
                <w:sz w:val="21"/>
                <w:szCs w:val="21"/>
                <w:u w:val="none" w:color="auto"/>
                <w:lang w:val="en-US" w:eastAsia="zh-CN"/>
              </w:rPr>
            </w:pPr>
          </w:p>
        </w:tc>
        <w:tc>
          <w:tcPr>
            <w:tcW w:w="1401" w:type="dxa"/>
            <w:tcBorders>
              <w:tl2br w:val="nil"/>
              <w:tr2bl w:val="nil"/>
            </w:tcBorders>
            <w:vAlign w:val="center"/>
          </w:tcPr>
          <w:p w14:paraId="11315D17">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生活污水</w:t>
            </w:r>
          </w:p>
        </w:tc>
        <w:tc>
          <w:tcPr>
            <w:tcW w:w="3501" w:type="dxa"/>
            <w:tcBorders>
              <w:tl2br w:val="nil"/>
              <w:tr2bl w:val="nil"/>
            </w:tcBorders>
            <w:vAlign w:val="center"/>
          </w:tcPr>
          <w:p w14:paraId="4BBEFD0B">
            <w:pPr>
              <w:pStyle w:val="37"/>
              <w:spacing w:after="0" w:line="240" w:lineRule="auto"/>
              <w:ind w:firstLine="0" w:firstLineChars="0"/>
              <w:jc w:val="center"/>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经地埋式一体化处理设施处理后排入东面</w:t>
            </w:r>
            <w:r>
              <w:rPr>
                <w:rFonts w:hint="eastAsia" w:eastAsia="宋体" w:cs="Times New Roman"/>
                <w:color w:val="auto"/>
                <w:sz w:val="21"/>
                <w:szCs w:val="21"/>
                <w:u w:val="none" w:color="auto"/>
                <w:lang w:val="en-US" w:eastAsia="zh-CN"/>
              </w:rPr>
              <w:t>店香河</w:t>
            </w:r>
            <w:r>
              <w:rPr>
                <w:rFonts w:hint="default" w:ascii="Times New Roman" w:hAnsi="Times New Roman" w:eastAsia="宋体" w:cs="Times New Roman"/>
                <w:color w:val="auto"/>
                <w:sz w:val="21"/>
                <w:szCs w:val="21"/>
                <w:u w:val="none" w:color="auto"/>
                <w:lang w:val="en-US" w:eastAsia="zh-CN"/>
              </w:rPr>
              <w:t>，处理规模 10m</w:t>
            </w:r>
            <w:r>
              <w:rPr>
                <w:rFonts w:hint="eastAsia" w:eastAsia="宋体" w:cs="Times New Roman"/>
                <w:color w:val="auto"/>
                <w:sz w:val="21"/>
                <w:szCs w:val="21"/>
                <w:u w:val="none" w:color="auto"/>
                <w:vertAlign w:val="superscript"/>
                <w:lang w:val="en-US" w:eastAsia="zh-CN"/>
              </w:rPr>
              <w:t>3</w:t>
            </w:r>
            <w:r>
              <w:rPr>
                <w:rFonts w:hint="default" w:ascii="Times New Roman" w:hAnsi="Times New Roman" w:eastAsia="宋体" w:cs="Times New Roman"/>
                <w:color w:val="auto"/>
                <w:sz w:val="21"/>
                <w:szCs w:val="21"/>
                <w:u w:val="none" w:color="auto"/>
                <w:lang w:val="en-US" w:eastAsia="zh-CN"/>
              </w:rPr>
              <w:t>/d。</w:t>
            </w:r>
          </w:p>
        </w:tc>
        <w:tc>
          <w:tcPr>
            <w:tcW w:w="1792" w:type="dxa"/>
            <w:tcBorders>
              <w:tl2br w:val="nil"/>
              <w:tr2bl w:val="nil"/>
            </w:tcBorders>
            <w:vAlign w:val="center"/>
          </w:tcPr>
          <w:p w14:paraId="5EE1DF42">
            <w:pPr>
              <w:spacing w:after="0" w:line="240" w:lineRule="auto"/>
              <w:ind w:firstLine="0" w:firstLineChars="0"/>
              <w:jc w:val="center"/>
              <w:rPr>
                <w:rFonts w:hint="eastAsia" w:eastAsia="宋体" w:cs="Times New Roman"/>
                <w:color w:val="000000" w:themeColor="text1"/>
                <w:sz w:val="21"/>
                <w:szCs w:val="21"/>
                <w:lang w:val="en-US" w:eastAsia="zh-CN"/>
                <w14:textFill>
                  <w14:solidFill>
                    <w14:schemeClr w14:val="tx1"/>
                  </w14:solidFill>
                </w14:textFill>
              </w:rPr>
            </w:pPr>
            <w:r>
              <w:rPr>
                <w:rFonts w:hint="eastAsia" w:eastAsia="宋体" w:cs="Times New Roman"/>
                <w:color w:val="auto"/>
                <w:sz w:val="21"/>
                <w:szCs w:val="21"/>
                <w:lang w:val="en-US" w:eastAsia="zh-CN"/>
              </w:rPr>
              <w:t>生活污水经四格化粪池处理后外排</w:t>
            </w:r>
          </w:p>
        </w:tc>
      </w:tr>
      <w:tr w14:paraId="6650C2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continue"/>
            <w:tcBorders>
              <w:tl2br w:val="nil"/>
              <w:tr2bl w:val="nil"/>
            </w:tcBorders>
            <w:vAlign w:val="center"/>
          </w:tcPr>
          <w:p w14:paraId="752AC7B8">
            <w:pPr>
              <w:pStyle w:val="37"/>
              <w:spacing w:after="0"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1374" w:type="dxa"/>
            <w:vMerge w:val="restart"/>
            <w:tcBorders>
              <w:tl2br w:val="nil"/>
              <w:tr2bl w:val="nil"/>
            </w:tcBorders>
            <w:vAlign w:val="center"/>
          </w:tcPr>
          <w:p w14:paraId="55FFD6ED">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spacing w:val="8"/>
                <w:sz w:val="21"/>
                <w:szCs w:val="21"/>
                <w:u w:val="none" w:color="auto"/>
              </w:rPr>
              <w:t>废气处理设施</w:t>
            </w:r>
          </w:p>
        </w:tc>
        <w:tc>
          <w:tcPr>
            <w:tcW w:w="1401" w:type="dxa"/>
            <w:tcBorders>
              <w:tl2br w:val="nil"/>
              <w:tr2bl w:val="nil"/>
            </w:tcBorders>
            <w:vAlign w:val="center"/>
          </w:tcPr>
          <w:p w14:paraId="75692870">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烧成废气</w:t>
            </w:r>
          </w:p>
        </w:tc>
        <w:tc>
          <w:tcPr>
            <w:tcW w:w="3501" w:type="dxa"/>
            <w:tcBorders>
              <w:tl2br w:val="nil"/>
              <w:tr2bl w:val="nil"/>
            </w:tcBorders>
            <w:vAlign w:val="center"/>
          </w:tcPr>
          <w:p w14:paraId="3096CE23">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采用天然气作能源，经15m高排气筒(F1)排放。</w:t>
            </w:r>
          </w:p>
        </w:tc>
        <w:tc>
          <w:tcPr>
            <w:tcW w:w="1792" w:type="dxa"/>
            <w:tcBorders>
              <w:tl2br w:val="nil"/>
              <w:tr2bl w:val="nil"/>
            </w:tcBorders>
            <w:vAlign w:val="center"/>
          </w:tcPr>
          <w:p w14:paraId="3E468A45">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与环评一致</w:t>
            </w:r>
          </w:p>
        </w:tc>
      </w:tr>
      <w:tr w14:paraId="6A6E17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continue"/>
            <w:tcBorders>
              <w:tl2br w:val="nil"/>
              <w:tr2bl w:val="nil"/>
            </w:tcBorders>
            <w:vAlign w:val="center"/>
          </w:tcPr>
          <w:p w14:paraId="2D15305B">
            <w:pPr>
              <w:spacing w:after="0" w:line="240" w:lineRule="auto"/>
              <w:ind w:firstLine="0" w:firstLineChars="0"/>
              <w:jc w:val="center"/>
            </w:pPr>
          </w:p>
        </w:tc>
        <w:tc>
          <w:tcPr>
            <w:tcW w:w="1374" w:type="dxa"/>
            <w:vMerge w:val="continue"/>
            <w:tcBorders>
              <w:tl2br w:val="nil"/>
              <w:tr2bl w:val="nil"/>
            </w:tcBorders>
            <w:vAlign w:val="center"/>
          </w:tcPr>
          <w:p w14:paraId="1D247649">
            <w:pPr>
              <w:spacing w:after="0" w:line="240" w:lineRule="auto"/>
              <w:ind w:firstLine="0" w:firstLineChars="0"/>
              <w:jc w:val="center"/>
            </w:pPr>
          </w:p>
        </w:tc>
        <w:tc>
          <w:tcPr>
            <w:tcW w:w="1401" w:type="dxa"/>
            <w:tcBorders>
              <w:tl2br w:val="nil"/>
              <w:tr2bl w:val="nil"/>
            </w:tcBorders>
            <w:vAlign w:val="center"/>
          </w:tcPr>
          <w:p w14:paraId="24EF615B">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烤花废气</w:t>
            </w:r>
          </w:p>
        </w:tc>
        <w:tc>
          <w:tcPr>
            <w:tcW w:w="3501" w:type="dxa"/>
            <w:tcBorders>
              <w:tl2br w:val="nil"/>
              <w:tr2bl w:val="nil"/>
            </w:tcBorders>
            <w:vAlign w:val="center"/>
          </w:tcPr>
          <w:p w14:paraId="3DF839DD">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采用天然气作能源，经 15m高排气筒(F2)排放。</w:t>
            </w:r>
          </w:p>
        </w:tc>
        <w:tc>
          <w:tcPr>
            <w:tcW w:w="1792" w:type="dxa"/>
            <w:tcBorders>
              <w:tl2br w:val="nil"/>
              <w:tr2bl w:val="nil"/>
            </w:tcBorders>
            <w:vAlign w:val="center"/>
          </w:tcPr>
          <w:p w14:paraId="0D75B633">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highlight w:val="none"/>
                <w:u w:val="none" w:color="auto"/>
                <w:lang w:val="en-US" w:eastAsia="zh-CN"/>
                <w14:textFill>
                  <w14:solidFill>
                    <w14:schemeClr w14:val="tx1"/>
                  </w14:solidFill>
                </w14:textFill>
              </w:rPr>
              <w:t>取消建设</w:t>
            </w:r>
          </w:p>
        </w:tc>
      </w:tr>
      <w:tr w14:paraId="5BB9E4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continue"/>
            <w:tcBorders>
              <w:tl2br w:val="nil"/>
              <w:tr2bl w:val="nil"/>
            </w:tcBorders>
            <w:vAlign w:val="center"/>
          </w:tcPr>
          <w:p w14:paraId="369D79AA">
            <w:pPr>
              <w:spacing w:after="0" w:line="240" w:lineRule="auto"/>
              <w:ind w:firstLine="0" w:firstLineChars="0"/>
              <w:jc w:val="center"/>
              <w:rPr>
                <w:rFonts w:hint="default" w:ascii="Times New Roman" w:hAnsi="Times New Roman" w:eastAsia="宋体" w:cs="Times New Roman"/>
                <w:color w:val="auto"/>
                <w:sz w:val="21"/>
                <w:szCs w:val="21"/>
                <w:u w:val="none" w:color="auto"/>
              </w:rPr>
            </w:pPr>
          </w:p>
        </w:tc>
        <w:tc>
          <w:tcPr>
            <w:tcW w:w="1374" w:type="dxa"/>
            <w:vMerge w:val="continue"/>
            <w:tcBorders>
              <w:tl2br w:val="nil"/>
              <w:tr2bl w:val="nil"/>
            </w:tcBorders>
            <w:vAlign w:val="center"/>
          </w:tcPr>
          <w:p w14:paraId="3425B2F6">
            <w:pPr>
              <w:spacing w:after="0" w:line="240" w:lineRule="auto"/>
              <w:ind w:firstLine="0" w:firstLineChars="0"/>
              <w:jc w:val="center"/>
              <w:rPr>
                <w:rFonts w:hint="default" w:ascii="Times New Roman" w:hAnsi="Times New Roman" w:eastAsia="宋体" w:cs="Times New Roman"/>
                <w:color w:val="auto"/>
                <w:sz w:val="21"/>
                <w:szCs w:val="21"/>
                <w:u w:val="none" w:color="auto"/>
              </w:rPr>
            </w:pPr>
          </w:p>
        </w:tc>
        <w:tc>
          <w:tcPr>
            <w:tcW w:w="1401" w:type="dxa"/>
            <w:tcBorders>
              <w:tl2br w:val="nil"/>
              <w:tr2bl w:val="nil"/>
            </w:tcBorders>
            <w:vAlign w:val="center"/>
          </w:tcPr>
          <w:p w14:paraId="70E979A5">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原料堆存、装卸及配料粉尘</w:t>
            </w:r>
          </w:p>
        </w:tc>
        <w:tc>
          <w:tcPr>
            <w:tcW w:w="3501" w:type="dxa"/>
            <w:tcBorders>
              <w:tl2br w:val="nil"/>
              <w:tr2bl w:val="nil"/>
            </w:tcBorders>
            <w:vAlign w:val="center"/>
          </w:tcPr>
          <w:p w14:paraId="3B1D28DD">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三面封闭原料棚、喷雾洒水装置</w:t>
            </w:r>
          </w:p>
        </w:tc>
        <w:tc>
          <w:tcPr>
            <w:tcW w:w="1792" w:type="dxa"/>
            <w:tcBorders>
              <w:tl2br w:val="nil"/>
              <w:tr2bl w:val="nil"/>
            </w:tcBorders>
            <w:vAlign w:val="center"/>
          </w:tcPr>
          <w:p w14:paraId="6963E6F4">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与环评一致</w:t>
            </w:r>
          </w:p>
        </w:tc>
      </w:tr>
      <w:tr w14:paraId="31995C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continue"/>
            <w:tcBorders>
              <w:tl2br w:val="nil"/>
              <w:tr2bl w:val="nil"/>
            </w:tcBorders>
            <w:vAlign w:val="center"/>
          </w:tcPr>
          <w:p w14:paraId="22F42BAA">
            <w:pPr>
              <w:pStyle w:val="37"/>
              <w:spacing w:after="0"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1374" w:type="dxa"/>
            <w:vMerge w:val="restart"/>
            <w:tcBorders>
              <w:tl2br w:val="nil"/>
              <w:tr2bl w:val="nil"/>
            </w:tcBorders>
            <w:vAlign w:val="center"/>
          </w:tcPr>
          <w:p w14:paraId="3E51BE66">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spacing w:val="5"/>
                <w:sz w:val="21"/>
                <w:szCs w:val="21"/>
                <w:u w:val="none" w:color="auto"/>
              </w:rPr>
              <w:t>固废处置措施</w:t>
            </w:r>
          </w:p>
        </w:tc>
        <w:tc>
          <w:tcPr>
            <w:tcW w:w="1401" w:type="dxa"/>
            <w:tcBorders>
              <w:tl2br w:val="nil"/>
              <w:tr2bl w:val="nil"/>
            </w:tcBorders>
            <w:vAlign w:val="center"/>
          </w:tcPr>
          <w:p w14:paraId="5CDC663F">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一般固废处置</w:t>
            </w:r>
          </w:p>
        </w:tc>
        <w:tc>
          <w:tcPr>
            <w:tcW w:w="3501" w:type="dxa"/>
            <w:tcBorders>
              <w:tl2br w:val="nil"/>
              <w:tr2bl w:val="nil"/>
            </w:tcBorders>
            <w:vAlign w:val="center"/>
          </w:tcPr>
          <w:p w14:paraId="31D57E0E">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新增设一般固废暂存间，占地面积60m</w:t>
            </w:r>
            <w:r>
              <w:rPr>
                <w:rFonts w:hint="eastAsia" w:ascii="Times New Roman" w:hAnsi="Times New Roman" w:eastAsia="宋体" w:cs="Times New Roman"/>
                <w:color w:val="000000" w:themeColor="text1"/>
                <w:sz w:val="21"/>
                <w:szCs w:val="21"/>
                <w:highlight w:val="none"/>
                <w:u w:val="none" w:color="auto"/>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，用三面封闭的堆棚，位于厂区中部。</w:t>
            </w:r>
          </w:p>
        </w:tc>
        <w:tc>
          <w:tcPr>
            <w:tcW w:w="1792" w:type="dxa"/>
            <w:tcBorders>
              <w:tl2br w:val="nil"/>
              <w:tr2bl w:val="nil"/>
            </w:tcBorders>
            <w:vAlign w:val="center"/>
          </w:tcPr>
          <w:p w14:paraId="6994CA31">
            <w:pPr>
              <w:spacing w:after="0"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与环评一致</w:t>
            </w:r>
          </w:p>
        </w:tc>
      </w:tr>
      <w:tr w14:paraId="2B5875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continue"/>
            <w:tcBorders>
              <w:tl2br w:val="nil"/>
              <w:tr2bl w:val="nil"/>
            </w:tcBorders>
            <w:vAlign w:val="center"/>
          </w:tcPr>
          <w:p w14:paraId="75DD87AF">
            <w:pPr>
              <w:spacing w:after="0" w:line="240" w:lineRule="auto"/>
              <w:ind w:firstLine="0" w:firstLineChars="0"/>
              <w:jc w:val="center"/>
            </w:pPr>
          </w:p>
        </w:tc>
        <w:tc>
          <w:tcPr>
            <w:tcW w:w="1374" w:type="dxa"/>
            <w:vMerge w:val="continue"/>
            <w:tcBorders>
              <w:tl2br w:val="nil"/>
              <w:tr2bl w:val="nil"/>
            </w:tcBorders>
            <w:vAlign w:val="center"/>
          </w:tcPr>
          <w:p w14:paraId="1A760D65">
            <w:pPr>
              <w:spacing w:after="0" w:line="240" w:lineRule="auto"/>
              <w:ind w:firstLine="0" w:firstLineChars="0"/>
              <w:jc w:val="center"/>
            </w:pPr>
          </w:p>
        </w:tc>
        <w:tc>
          <w:tcPr>
            <w:tcW w:w="1401" w:type="dxa"/>
            <w:tcBorders>
              <w:tl2br w:val="nil"/>
              <w:tr2bl w:val="nil"/>
            </w:tcBorders>
            <w:vAlign w:val="center"/>
          </w:tcPr>
          <w:p w14:paraId="2617CFBD">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危险固废处置</w:t>
            </w:r>
          </w:p>
        </w:tc>
        <w:tc>
          <w:tcPr>
            <w:tcW w:w="3501" w:type="dxa"/>
            <w:tcBorders>
              <w:tl2br w:val="nil"/>
              <w:tr2bl w:val="nil"/>
            </w:tcBorders>
            <w:vAlign w:val="center"/>
          </w:tcPr>
          <w:p w14:paraId="40AE20F4">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default"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危险废物暂存间，占地面积 4m</w:t>
            </w:r>
            <w:r>
              <w:rPr>
                <w:rFonts w:hint="eastAsia" w:ascii="Times New Roman" w:hAnsi="Times New Roman" w:eastAsia="宋体" w:cs="Times New Roman"/>
                <w:color w:val="000000" w:themeColor="text1"/>
                <w:sz w:val="21"/>
                <w:szCs w:val="21"/>
                <w:highlight w:val="none"/>
                <w:u w:val="none" w:color="auto"/>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，位于白瓷生产车间内</w:t>
            </w:r>
          </w:p>
        </w:tc>
        <w:tc>
          <w:tcPr>
            <w:tcW w:w="1792" w:type="dxa"/>
            <w:tcBorders>
              <w:tl2br w:val="nil"/>
              <w:tr2bl w:val="nil"/>
            </w:tcBorders>
            <w:vAlign w:val="center"/>
          </w:tcPr>
          <w:p w14:paraId="4F40CAE3">
            <w:pPr>
              <w:spacing w:after="0" w:line="240" w:lineRule="auto"/>
              <w:ind w:firstLine="0" w:firstLineChars="0"/>
              <w:jc w:val="cente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t>改为厂区西北侧</w:t>
            </w:r>
          </w:p>
        </w:tc>
      </w:tr>
      <w:tr w14:paraId="766447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continue"/>
            <w:tcBorders>
              <w:tl2br w:val="nil"/>
              <w:tr2bl w:val="nil"/>
            </w:tcBorders>
            <w:vAlign w:val="center"/>
          </w:tcPr>
          <w:p w14:paraId="0F021075">
            <w:pPr>
              <w:spacing w:after="0" w:line="240" w:lineRule="auto"/>
              <w:ind w:firstLine="0" w:firstLineChars="0"/>
              <w:jc w:val="center"/>
              <w:rPr>
                <w:rFonts w:hint="default" w:ascii="Times New Roman" w:hAnsi="Times New Roman" w:eastAsia="宋体" w:cs="Times New Roman"/>
                <w:color w:val="000000" w:themeColor="text1"/>
                <w:sz w:val="21"/>
                <w:szCs w:val="21"/>
                <w:u w:val="none" w:color="auto"/>
                <w14:textFill>
                  <w14:solidFill>
                    <w14:schemeClr w14:val="tx1"/>
                  </w14:solidFill>
                </w14:textFill>
              </w:rPr>
            </w:pPr>
          </w:p>
        </w:tc>
        <w:tc>
          <w:tcPr>
            <w:tcW w:w="1374" w:type="dxa"/>
            <w:vMerge w:val="continue"/>
            <w:tcBorders>
              <w:tl2br w:val="nil"/>
              <w:tr2bl w:val="nil"/>
            </w:tcBorders>
            <w:vAlign w:val="center"/>
          </w:tcPr>
          <w:p w14:paraId="1F12C8D8">
            <w:pPr>
              <w:spacing w:after="0" w:line="240" w:lineRule="auto"/>
              <w:ind w:firstLine="0" w:firstLineChars="0"/>
              <w:jc w:val="center"/>
              <w:rPr>
                <w:rFonts w:hint="default" w:ascii="Times New Roman" w:hAnsi="Times New Roman" w:eastAsia="宋体" w:cs="Times New Roman"/>
                <w:color w:val="000000" w:themeColor="text1"/>
                <w:sz w:val="21"/>
                <w:szCs w:val="21"/>
                <w:u w:val="none" w:color="auto"/>
                <w14:textFill>
                  <w14:solidFill>
                    <w14:schemeClr w14:val="tx1"/>
                  </w14:solidFill>
                </w14:textFill>
              </w:rPr>
            </w:pPr>
          </w:p>
        </w:tc>
        <w:tc>
          <w:tcPr>
            <w:tcW w:w="1401" w:type="dxa"/>
            <w:tcBorders>
              <w:tl2br w:val="nil"/>
              <w:tr2bl w:val="nil"/>
            </w:tcBorders>
            <w:vAlign w:val="center"/>
          </w:tcPr>
          <w:p w14:paraId="524CAB56">
            <w:pPr>
              <w:spacing w:after="0" w:line="240" w:lineRule="auto"/>
              <w:ind w:firstLine="0" w:firstLineChars="0"/>
              <w:jc w:val="cente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t>生活垃圾</w:t>
            </w:r>
          </w:p>
        </w:tc>
        <w:tc>
          <w:tcPr>
            <w:tcW w:w="3501" w:type="dxa"/>
            <w:tcBorders>
              <w:tl2br w:val="nil"/>
              <w:tr2bl w:val="nil"/>
            </w:tcBorders>
            <w:vAlign w:val="center"/>
          </w:tcPr>
          <w:p w14:paraId="64E6016B">
            <w:pPr>
              <w:spacing w:after="0" w:line="240" w:lineRule="auto"/>
              <w:ind w:firstLine="0" w:firstLineChars="0"/>
              <w:jc w:val="center"/>
              <w:rPr>
                <w:rFonts w:hint="default"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t>收集后委托环卫部门清运</w:t>
            </w:r>
          </w:p>
        </w:tc>
        <w:tc>
          <w:tcPr>
            <w:tcW w:w="1792" w:type="dxa"/>
            <w:tcBorders>
              <w:tl2br w:val="nil"/>
              <w:tr2bl w:val="nil"/>
            </w:tcBorders>
            <w:vAlign w:val="center"/>
          </w:tcPr>
          <w:p w14:paraId="4AC5F239">
            <w:pPr>
              <w:spacing w:after="0" w:line="240" w:lineRule="auto"/>
              <w:ind w:firstLine="0" w:firstLineChars="0"/>
              <w:jc w:val="center"/>
              <w:rPr>
                <w:rFonts w:hint="default" w:ascii="Times New Roman" w:hAnsi="Times New Roman" w:eastAsia="宋体" w:cs="Times New Roman"/>
                <w:color w:val="000000" w:themeColor="text1"/>
                <w:sz w:val="21"/>
                <w:szCs w:val="21"/>
                <w:u w:val="none" w:color="auto"/>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与环评一致</w:t>
            </w:r>
          </w:p>
        </w:tc>
      </w:tr>
      <w:tr w14:paraId="787097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3" w:type="dxa"/>
            <w:vMerge w:val="continue"/>
            <w:tcBorders>
              <w:tl2br w:val="nil"/>
              <w:tr2bl w:val="nil"/>
            </w:tcBorders>
            <w:vAlign w:val="center"/>
          </w:tcPr>
          <w:p w14:paraId="40ADCB03">
            <w:pPr>
              <w:pStyle w:val="37"/>
              <w:spacing w:after="0"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1374" w:type="dxa"/>
            <w:tcBorders>
              <w:tl2br w:val="nil"/>
              <w:tr2bl w:val="nil"/>
            </w:tcBorders>
            <w:vAlign w:val="center"/>
          </w:tcPr>
          <w:p w14:paraId="458E3E77">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jc w:val="center"/>
              <w:textAlignment w:val="auto"/>
              <w:rPr>
                <w:rFonts w:hint="eastAsia" w:ascii="Times New Roman" w:hAnsi="Times New Roman" w:eastAsia="宋体" w:cs="Times New Roman"/>
                <w:color w:val="000000" w:themeColor="text1"/>
                <w:sz w:val="21"/>
                <w:szCs w:val="21"/>
                <w:u w:val="none" w:color="auto"/>
                <w:lang w:val="en-US" w:eastAsia="zh-CN"/>
                <w14:textFill>
                  <w14:solidFill>
                    <w14:schemeClr w14:val="tx1"/>
                  </w14:solidFill>
                </w14:textFill>
              </w:rPr>
            </w:pPr>
            <w:r>
              <w:rPr>
                <w:spacing w:val="6"/>
                <w:sz w:val="21"/>
                <w:szCs w:val="21"/>
                <w:u w:val="none" w:color="auto"/>
              </w:rPr>
              <w:t>噪声防治措施</w:t>
            </w:r>
          </w:p>
        </w:tc>
        <w:tc>
          <w:tcPr>
            <w:tcW w:w="4902" w:type="dxa"/>
            <w:gridSpan w:val="2"/>
            <w:tcBorders>
              <w:tl2br w:val="nil"/>
              <w:tr2bl w:val="nil"/>
            </w:tcBorders>
            <w:vAlign w:val="center"/>
          </w:tcPr>
          <w:p w14:paraId="611CA130">
            <w:pPr>
              <w:pStyle w:val="35"/>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jc w:val="center"/>
              <w:textAlignment w:val="auto"/>
              <w:rPr>
                <w:rFonts w:hint="eastAsia" w:ascii="Times New Roman" w:hAnsi="Times New Roman" w:eastAsia="宋体" w:cs="Times New Roman"/>
                <w:color w:val="000000" w:themeColor="text1"/>
                <w:sz w:val="21"/>
                <w:szCs w:val="21"/>
                <w:u w:val="none" w:color="auto"/>
                <w:lang w:eastAsia="zh-CN"/>
                <w14:textFill>
                  <w14:solidFill>
                    <w14:schemeClr w14:val="tx1"/>
                  </w14:solidFill>
                </w14:textFill>
              </w:rPr>
            </w:pPr>
            <w:r>
              <w:rPr>
                <w:rFonts w:hint="default" w:ascii="Times New Roman" w:hAnsi="Times New Roman" w:eastAsia="宋体" w:cs="Times New Roman"/>
                <w:color w:val="000000" w:themeColor="text1"/>
                <w:sz w:val="21"/>
                <w:szCs w:val="21"/>
                <w:u w:val="none" w:color="auto"/>
                <w14:textFill>
                  <w14:solidFill>
                    <w14:schemeClr w14:val="tx1"/>
                  </w14:solidFill>
                </w14:textFill>
              </w:rPr>
              <w:t>设备消声、厂房隔声、基础</w:t>
            </w:r>
            <w:r>
              <w:rPr>
                <w:rFonts w:hint="eastAsia" w:ascii="Times New Roman" w:hAnsi="Times New Roman" w:cs="Times New Roman"/>
                <w:color w:val="000000" w:themeColor="text1"/>
                <w:sz w:val="21"/>
                <w:szCs w:val="21"/>
                <w:u w:val="none" w:color="auto"/>
                <w:lang w:val="en-US" w:eastAsia="zh-CN"/>
                <w14:textFill>
                  <w14:solidFill>
                    <w14:schemeClr w14:val="tx1"/>
                  </w14:solidFill>
                </w14:textFill>
              </w:rPr>
              <w:t>减振</w:t>
            </w:r>
          </w:p>
        </w:tc>
        <w:tc>
          <w:tcPr>
            <w:tcW w:w="1792" w:type="dxa"/>
            <w:tcBorders>
              <w:tl2br w:val="nil"/>
              <w:tr2bl w:val="nil"/>
            </w:tcBorders>
            <w:vAlign w:val="center"/>
          </w:tcPr>
          <w:p w14:paraId="056ECEBB">
            <w:pPr>
              <w:pStyle w:val="37"/>
              <w:spacing w:after="0" w:line="240" w:lineRule="auto"/>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eastAsia="宋体" w:cs="Times New Roman"/>
                <w:color w:val="000000" w:themeColor="text1"/>
                <w:sz w:val="21"/>
                <w:szCs w:val="21"/>
                <w:lang w:val="en-US" w:eastAsia="zh-CN"/>
                <w14:textFill>
                  <w14:solidFill>
                    <w14:schemeClr w14:val="tx1"/>
                  </w14:solidFill>
                </w14:textFill>
              </w:rPr>
              <w:t>与环评一致</w:t>
            </w:r>
          </w:p>
        </w:tc>
      </w:tr>
    </w:tbl>
    <w:p w14:paraId="7996E181">
      <w:pPr>
        <w:spacing w:after="0" w:line="480" w:lineRule="exact"/>
        <w:ind w:firstLine="480" w:firstLineChars="200"/>
        <w:rPr>
          <w:rFonts w:ascii="Times New Roman" w:hAnsi="Times New Roman" w:eastAsia="宋体" w:cs="Times New Roman"/>
          <w:bCs/>
          <w:color w:val="000000" w:themeColor="text1"/>
          <w:sz w:val="24"/>
          <w:szCs w:val="24"/>
          <w14:textFill>
            <w14:solidFill>
              <w14:schemeClr w14:val="tx1"/>
            </w14:solidFill>
          </w14:textFill>
        </w:rPr>
      </w:pPr>
      <w:r>
        <w:rPr>
          <w:rFonts w:hint="eastAsia" w:ascii="Times New Roman" w:hAnsi="Times New Roman" w:eastAsia="宋体" w:cs="Times New Roman"/>
          <w:bCs/>
          <w:color w:val="000000" w:themeColor="text1"/>
          <w:sz w:val="24"/>
          <w:szCs w:val="24"/>
          <w14:textFill>
            <w14:solidFill>
              <w14:schemeClr w14:val="tx1"/>
            </w14:solidFill>
          </w14:textFill>
        </w:rPr>
        <w:t>生产设备见验收报告表</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3-4</w:t>
      </w:r>
      <w:r>
        <w:rPr>
          <w:rFonts w:hint="eastAsia" w:ascii="Times New Roman" w:hAnsi="Times New Roman" w:eastAsia="宋体" w:cs="Times New Roman"/>
          <w:bCs/>
          <w:color w:val="000000" w:themeColor="text1"/>
          <w:sz w:val="24"/>
          <w:szCs w:val="24"/>
          <w14:textFill>
            <w14:solidFill>
              <w14:schemeClr w14:val="tx1"/>
            </w14:solidFill>
          </w14:textFill>
        </w:rPr>
        <w:t>，原辅材料消耗见验收报告中表</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3-5</w:t>
      </w:r>
      <w:r>
        <w:rPr>
          <w:rFonts w:hint="eastAsia" w:ascii="Times New Roman" w:hAnsi="Times New Roman" w:eastAsia="宋体" w:cs="Times New Roman"/>
          <w:bCs/>
          <w:color w:val="000000" w:themeColor="text1"/>
          <w:sz w:val="24"/>
          <w:szCs w:val="24"/>
          <w14:textFill>
            <w14:solidFill>
              <w14:schemeClr w14:val="tx1"/>
            </w14:solidFill>
          </w14:textFill>
        </w:rPr>
        <w:t>。</w:t>
      </w:r>
    </w:p>
    <w:p w14:paraId="53528D0E">
      <w:pPr>
        <w:spacing w:after="0" w:line="480" w:lineRule="exact"/>
        <w:ind w:firstLine="482" w:firstLineChars="200"/>
        <w:rPr>
          <w:rFonts w:hint="eastAsia" w:ascii="Times New Roman" w:hAnsi="Times New Roman" w:eastAsia="宋体" w:cs="Times New Roman"/>
          <w:b/>
          <w:bCs w:val="0"/>
          <w:color w:val="000000" w:themeColor="text1"/>
          <w:sz w:val="24"/>
          <w:szCs w:val="24"/>
          <w14:textFill>
            <w14:solidFill>
              <w14:schemeClr w14:val="tx1"/>
            </w14:solidFill>
          </w14:textFill>
        </w:rPr>
      </w:pPr>
      <w:r>
        <w:rPr>
          <w:rFonts w:hint="eastAsia" w:ascii="Times New Roman" w:hAnsi="Times New Roman" w:eastAsia="宋体" w:cs="Times New Roman"/>
          <w:b/>
          <w:bCs w:val="0"/>
          <w:color w:val="000000" w:themeColor="text1"/>
          <w:sz w:val="24"/>
          <w:szCs w:val="24"/>
          <w14:textFill>
            <w14:solidFill>
              <w14:schemeClr w14:val="tx1"/>
            </w14:solidFill>
          </w14:textFill>
        </w:rPr>
        <w:t>2、建设过程及环保审批情况</w:t>
      </w:r>
    </w:p>
    <w:p w14:paraId="7AE5652C">
      <w:pPr>
        <w:spacing w:after="0" w:line="480" w:lineRule="exact"/>
        <w:ind w:firstLine="480" w:firstLineChars="200"/>
        <w:rPr>
          <w:rFonts w:ascii="Times New Roman" w:hAnsi="Times New Roman" w:eastAsia="宋体" w:cs="Times New Roman"/>
          <w:b w:val="0"/>
          <w:bCs/>
          <w:color w:val="000000" w:themeColor="text1"/>
          <w:sz w:val="24"/>
          <w:szCs w:val="24"/>
          <w14:textFill>
            <w14:solidFill>
              <w14:schemeClr w14:val="tx1"/>
            </w14:solidFill>
          </w14:textFill>
        </w:rPr>
      </w:pP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醴陵市丰裕瓷厂2020年1月委托湖南宏晟环保技术研究院有限公司编制完成了《醴陵市丰裕瓷厂年产600万件日用陶瓷建设项目环境影响报告书》，2020年1月13日，株洲市生态环境局醴陵分局以株醴环评【2020】10号对该项目予以审批，因属于未批先建，已于2018年11月30日取得了株洲市环境保护局颁发的排污许可证</w:t>
      </w:r>
      <w:r>
        <w:rPr>
          <w:rFonts w:hint="eastAsia" w:ascii="Times New Roman" w:hAnsi="Times New Roman" w:eastAsia="宋体" w:cs="Times New Roman"/>
          <w:b w:val="0"/>
          <w:bCs/>
          <w:color w:val="000000" w:themeColor="text1"/>
          <w:sz w:val="24"/>
          <w:szCs w:val="24"/>
          <w14:textFill>
            <w14:solidFill>
              <w14:schemeClr w14:val="tx1"/>
            </w14:solidFill>
          </w14:textFill>
        </w:rPr>
        <w:t>。</w:t>
      </w:r>
    </w:p>
    <w:p w14:paraId="0CE2E98A">
      <w:pPr>
        <w:spacing w:after="0" w:line="480" w:lineRule="exact"/>
        <w:ind w:firstLine="480" w:firstLineChars="200"/>
        <w:rPr>
          <w:rFonts w:ascii="Times New Roman" w:hAnsi="Times New Roman" w:eastAsia="宋体" w:cs="Times New Roman"/>
          <w:bCs/>
          <w:color w:val="000000" w:themeColor="text1"/>
          <w:sz w:val="24"/>
          <w:szCs w:val="24"/>
          <w14:textFill>
            <w14:solidFill>
              <w14:schemeClr w14:val="tx1"/>
            </w14:solidFill>
          </w14:textFill>
        </w:rPr>
      </w:pPr>
      <w:r>
        <w:rPr>
          <w:rFonts w:hint="eastAsia" w:ascii="Times New Roman" w:hAnsi="Times New Roman" w:eastAsia="宋体" w:cs="Times New Roman"/>
          <w:bCs/>
          <w:color w:val="000000" w:themeColor="text1"/>
          <w:sz w:val="24"/>
          <w:szCs w:val="24"/>
          <w14:textFill>
            <w14:solidFill>
              <w14:schemeClr w14:val="tx1"/>
            </w14:solidFill>
          </w14:textFill>
        </w:rPr>
        <w:t>3、项目投资</w:t>
      </w:r>
    </w:p>
    <w:p w14:paraId="4CCEBCF7">
      <w:pPr>
        <w:spacing w:after="0" w:line="480" w:lineRule="exact"/>
        <w:ind w:firstLine="480" w:firstLineChars="200"/>
        <w:rPr>
          <w:rFonts w:ascii="Times New Roman" w:hAnsi="Times New Roman" w:eastAsia="宋体" w:cs="Times New Roman"/>
          <w:bCs/>
          <w:color w:val="000000" w:themeColor="text1"/>
          <w:sz w:val="24"/>
          <w:szCs w:val="24"/>
          <w14:textFill>
            <w14:solidFill>
              <w14:schemeClr w14:val="tx1"/>
            </w14:solidFill>
          </w14:textFill>
        </w:rPr>
      </w:pPr>
      <w:r>
        <w:rPr>
          <w:rFonts w:hint="eastAsia" w:ascii="Times New Roman" w:hAnsi="Times New Roman" w:eastAsia="宋体" w:cs="Times New Roman"/>
          <w:bCs/>
          <w:color w:val="000000" w:themeColor="text1"/>
          <w:sz w:val="24"/>
          <w:szCs w:val="24"/>
          <w14:textFill>
            <w14:solidFill>
              <w14:schemeClr w14:val="tx1"/>
            </w14:solidFill>
          </w14:textFill>
        </w:rPr>
        <w:t>项目实际投资为</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20</w:t>
      </w:r>
      <w:r>
        <w:rPr>
          <w:rFonts w:hint="eastAsia" w:ascii="Times New Roman" w:hAnsi="Times New Roman" w:eastAsia="宋体" w:cs="Times New Roman"/>
          <w:bCs/>
          <w:color w:val="000000" w:themeColor="text1"/>
          <w:sz w:val="24"/>
          <w:szCs w:val="24"/>
          <w14:textFill>
            <w14:solidFill>
              <w14:schemeClr w14:val="tx1"/>
            </w14:solidFill>
          </w14:textFill>
        </w:rPr>
        <w:t>0</w:t>
      </w:r>
      <w:r>
        <w:rPr>
          <w:rFonts w:ascii="Times New Roman" w:hAnsi="Times New Roman" w:eastAsia="宋体" w:cs="Times New Roman"/>
          <w:bCs/>
          <w:color w:val="000000" w:themeColor="text1"/>
          <w:sz w:val="24"/>
          <w:szCs w:val="24"/>
          <w14:textFill>
            <w14:solidFill>
              <w14:schemeClr w14:val="tx1"/>
            </w14:solidFill>
          </w14:textFill>
        </w:rPr>
        <w:t>万元</w:t>
      </w:r>
      <w:r>
        <w:rPr>
          <w:rFonts w:hint="eastAsia" w:ascii="Times New Roman" w:hAnsi="Times New Roman" w:eastAsia="宋体" w:cs="Times New Roman"/>
          <w:bCs/>
          <w:color w:val="000000" w:themeColor="text1"/>
          <w:sz w:val="24"/>
          <w:szCs w:val="24"/>
          <w14:textFill>
            <w14:solidFill>
              <w14:schemeClr w14:val="tx1"/>
            </w14:solidFill>
          </w14:textFill>
        </w:rPr>
        <w:t>，实际环保投资为</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23</w:t>
      </w:r>
      <w:r>
        <w:rPr>
          <w:rFonts w:ascii="Times New Roman" w:hAnsi="Times New Roman" w:eastAsia="宋体" w:cs="Times New Roman"/>
          <w:bCs/>
          <w:color w:val="000000" w:themeColor="text1"/>
          <w:sz w:val="24"/>
          <w:szCs w:val="24"/>
          <w14:textFill>
            <w14:solidFill>
              <w14:schemeClr w14:val="tx1"/>
            </w14:solidFill>
          </w14:textFill>
        </w:rPr>
        <w:t>万元</w:t>
      </w:r>
      <w:r>
        <w:rPr>
          <w:rFonts w:hint="eastAsia" w:ascii="Times New Roman" w:hAnsi="Times New Roman" w:eastAsia="宋体" w:cs="Times New Roman"/>
          <w:bCs/>
          <w:color w:val="000000" w:themeColor="text1"/>
          <w:sz w:val="24"/>
          <w:szCs w:val="24"/>
          <w14:textFill>
            <w14:solidFill>
              <w14:schemeClr w14:val="tx1"/>
            </w14:solidFill>
          </w14:textFill>
        </w:rPr>
        <w:t>，实际环保投资占实际投资的</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11.5</w:t>
      </w:r>
      <w:r>
        <w:rPr>
          <w:rFonts w:ascii="Times New Roman" w:hAnsi="Times New Roman" w:eastAsia="宋体" w:cs="Times New Roman"/>
          <w:bCs/>
          <w:color w:val="000000" w:themeColor="text1"/>
          <w:sz w:val="24"/>
          <w:szCs w:val="24"/>
          <w14:textFill>
            <w14:solidFill>
              <w14:schemeClr w14:val="tx1"/>
            </w14:solidFill>
          </w14:textFill>
        </w:rPr>
        <w:t>％</w:t>
      </w:r>
      <w:r>
        <w:rPr>
          <w:rFonts w:hint="eastAsia" w:ascii="Times New Roman" w:hAnsi="Times New Roman" w:eastAsia="宋体" w:cs="Times New Roman"/>
          <w:bCs/>
          <w:color w:val="000000" w:themeColor="text1"/>
          <w:sz w:val="24"/>
          <w:szCs w:val="24"/>
          <w14:textFill>
            <w14:solidFill>
              <w14:schemeClr w14:val="tx1"/>
            </w14:solidFill>
          </w14:textFill>
        </w:rPr>
        <w:t>。</w:t>
      </w:r>
    </w:p>
    <w:p w14:paraId="2FA8FE34">
      <w:pPr>
        <w:spacing w:after="0" w:line="480" w:lineRule="exact"/>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4、验收范围</w:t>
      </w:r>
    </w:p>
    <w:p w14:paraId="3956AA54">
      <w:pPr>
        <w:spacing w:after="0" w:line="480" w:lineRule="exact"/>
        <w:ind w:firstLine="480" w:firstLineChars="200"/>
        <w:rPr>
          <w:rFonts w:hint="eastAsia" w:ascii="Times New Roman" w:hAnsi="Times New Roman" w:eastAsia="宋体" w:cs="Times New Roman"/>
          <w:bCs/>
          <w:color w:val="000000" w:themeColor="text1"/>
          <w:sz w:val="24"/>
          <w:szCs w:val="24"/>
          <w14:textFill>
            <w14:solidFill>
              <w14:schemeClr w14:val="tx1"/>
            </w14:solidFill>
          </w14:textFill>
        </w:rPr>
      </w:pPr>
      <w:r>
        <w:rPr>
          <w:rFonts w:hint="eastAsia" w:ascii="Times New Roman" w:hAnsi="Times New Roman" w:eastAsia="宋体" w:cs="Times New Roman"/>
          <w:bCs/>
          <w:color w:val="000000" w:themeColor="text1"/>
          <w:sz w:val="24"/>
          <w:szCs w:val="24"/>
          <w14:textFill>
            <w14:solidFill>
              <w14:schemeClr w14:val="tx1"/>
            </w14:solidFill>
          </w14:textFill>
        </w:rPr>
        <w:t>本次验收范围为环评报告</w:t>
      </w:r>
      <w:r>
        <w:rPr>
          <w:rFonts w:hint="eastAsia" w:ascii="Times New Roman" w:hAnsi="Times New Roman" w:eastAsia="宋体" w:cs="Times New Roman"/>
          <w:bCs/>
          <w:color w:val="000000" w:themeColor="text1"/>
          <w:sz w:val="24"/>
          <w:szCs w:val="24"/>
          <w:lang w:val="en-US" w:eastAsia="zh-CN"/>
          <w14:textFill>
            <w14:solidFill>
              <w14:schemeClr w14:val="tx1"/>
            </w14:solidFill>
          </w14:textFill>
        </w:rPr>
        <w:t>书</w:t>
      </w:r>
      <w:r>
        <w:rPr>
          <w:rFonts w:hint="eastAsia" w:ascii="Times New Roman" w:hAnsi="Times New Roman" w:eastAsia="宋体" w:cs="Times New Roman"/>
          <w:bCs/>
          <w:color w:val="000000" w:themeColor="text1"/>
          <w:sz w:val="24"/>
          <w:szCs w:val="24"/>
          <w14:textFill>
            <w14:solidFill>
              <w14:schemeClr w14:val="tx1"/>
            </w14:solidFill>
          </w14:textFill>
        </w:rPr>
        <w:t>及环评批复的工程内容。</w:t>
      </w:r>
    </w:p>
    <w:p w14:paraId="46B63295">
      <w:pPr>
        <w:spacing w:after="0" w:line="480" w:lineRule="exact"/>
        <w:ind w:firstLine="482" w:firstLineChars="200"/>
        <w:rPr>
          <w:rFonts w:ascii="Times New Roman" w:hAnsi="Times New Roman" w:eastAsia="宋体" w:cs="Times New Roman"/>
          <w:b/>
          <w:color w:val="000000" w:themeColor="text1"/>
          <w:sz w:val="24"/>
          <w:szCs w:val="24"/>
          <w14:textFill>
            <w14:solidFill>
              <w14:schemeClr w14:val="tx1"/>
            </w14:solidFill>
          </w14:textFill>
        </w:rPr>
      </w:pPr>
      <w:r>
        <w:rPr>
          <w:rFonts w:hint="eastAsia" w:ascii="Times New Roman" w:hAnsi="Times New Roman" w:eastAsia="宋体" w:cs="Times New Roman"/>
          <w:b/>
          <w:color w:val="000000" w:themeColor="text1"/>
          <w:sz w:val="24"/>
          <w:szCs w:val="24"/>
          <w14:textFill>
            <w14:solidFill>
              <w14:schemeClr w14:val="tx1"/>
            </w14:solidFill>
          </w14:textFill>
        </w:rPr>
        <w:t>二、工程变动情况</w:t>
      </w:r>
    </w:p>
    <w:p w14:paraId="736820F2">
      <w:pPr>
        <w:spacing w:after="0" w:line="480" w:lineRule="exact"/>
        <w:ind w:firstLine="480" w:firstLineChars="200"/>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经过对醴陵市丰裕瓷厂年产600万件日用陶瓷建设项目现场核查，对照生态环境部发布的</w:t>
      </w:r>
      <w:r>
        <w:rPr>
          <w:rFonts w:hint="eastAsia" w:ascii="Times New Roman" w:hAnsi="Times New Roman" w:eastAsia="宋体" w:cs="Times New Roman"/>
          <w:b w:val="0"/>
          <w:bCs/>
          <w:color w:val="000000" w:themeColor="text1"/>
          <w:sz w:val="24"/>
          <w:szCs w:val="24"/>
          <w:lang w:val="en-GB" w:eastAsia="zh-CN"/>
          <w14:textFill>
            <w14:solidFill>
              <w14:schemeClr w14:val="tx1"/>
            </w14:solidFill>
          </w14:textFill>
        </w:rPr>
        <w:t>《污染影响类建设项目重大变动清单（试行）》（环办环评函〔2020〕688号）文，</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本项目无重大变动。</w:t>
      </w:r>
    </w:p>
    <w:p w14:paraId="752DDFC1">
      <w:pPr>
        <w:spacing w:after="0" w:line="480" w:lineRule="exact"/>
        <w:ind w:firstLine="482" w:firstLineChars="200"/>
        <w:rPr>
          <w:rFonts w:ascii="Times New Roman" w:hAnsi="Times New Roman" w:eastAsia="宋体" w:cs="Times New Roman"/>
          <w:b/>
          <w:color w:val="000000" w:themeColor="text1"/>
          <w:sz w:val="24"/>
          <w:szCs w:val="24"/>
          <w14:textFill>
            <w14:solidFill>
              <w14:schemeClr w14:val="tx1"/>
            </w14:solidFill>
          </w14:textFill>
        </w:rPr>
      </w:pPr>
      <w:r>
        <w:rPr>
          <w:rFonts w:hint="eastAsia" w:ascii="Times New Roman" w:hAnsi="Times New Roman" w:eastAsia="宋体" w:cs="Times New Roman"/>
          <w:b/>
          <w:color w:val="000000" w:themeColor="text1"/>
          <w:sz w:val="24"/>
          <w:szCs w:val="24"/>
          <w14:textFill>
            <w14:solidFill>
              <w14:schemeClr w14:val="tx1"/>
            </w14:solidFill>
          </w14:textFill>
        </w:rPr>
        <w:t>三、环境保护设施建设情况</w:t>
      </w:r>
    </w:p>
    <w:p w14:paraId="79D4ABD3">
      <w:pPr>
        <w:spacing w:after="0" w:line="480" w:lineRule="exact"/>
        <w:ind w:firstLine="480" w:firstLineChars="200"/>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pPr>
      <w:bookmarkStart w:id="0" w:name="_Toc6403"/>
      <w:bookmarkStart w:id="1" w:name="_Toc6266"/>
      <w:bookmarkStart w:id="2" w:name="_Toc16368"/>
      <w:bookmarkStart w:id="3" w:name="_Toc6408"/>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1 、废水</w:t>
      </w:r>
    </w:p>
    <w:p w14:paraId="381ADC4B">
      <w:pPr>
        <w:spacing w:after="0" w:line="480" w:lineRule="exact"/>
        <w:ind w:firstLine="480" w:firstLineChars="200"/>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本项目营运期废水主要为压滤废水、制釉设备清洗废水、制模间清洗废水、精坯洗坯废水、车间地面冲洗废水、职工生活污水。场区运营期实行严格的雨污分流制，独立设立雨水沟，雨水就近外排；生活污水经四格化粪池处理后外排至东侧店香河，压滤废水、制釉设备清洗废水经车间沉淀池处理后全部回用，制模间清洗废水、精坯洗坯废水、车间地面冲洗废水经厂区污水处理站絮凝沉淀后90%回用，剩余10%排入东侧店香河。</w:t>
      </w:r>
    </w:p>
    <w:p w14:paraId="4AACEE7D">
      <w:pPr>
        <w:spacing w:after="0" w:line="480" w:lineRule="exact"/>
        <w:ind w:firstLine="480" w:firstLineChars="200"/>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2、废气</w:t>
      </w:r>
    </w:p>
    <w:p w14:paraId="2931AE86">
      <w:pPr>
        <w:spacing w:after="0" w:line="480" w:lineRule="exact"/>
        <w:ind w:firstLine="480" w:firstLineChars="200"/>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本项目营运期废气</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主要为原料堆存、装卸及配料粉尘、烧成辊道窑废气，原料堆场三面封闭并设置喷雾洒水装置抑尘，辊道窑采用天然气作为能源，燃烧废气由15m排气筒排放</w:t>
      </w: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w:t>
      </w:r>
    </w:p>
    <w:p w14:paraId="1BDA7FB3">
      <w:pPr>
        <w:spacing w:after="0" w:line="480" w:lineRule="exact"/>
        <w:ind w:firstLine="480" w:firstLineChars="200"/>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3、噪声</w:t>
      </w:r>
    </w:p>
    <w:p w14:paraId="14AEE3E9">
      <w:pPr>
        <w:spacing w:after="0" w:line="480" w:lineRule="exact"/>
        <w:ind w:firstLine="480" w:firstLineChars="200"/>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本项目噪声主要来源于机械设备运行时产生的机械噪声，建设单位采用合理布局、厂房隔声等降噪措施来降低噪声对周边环境的影响。</w:t>
      </w:r>
    </w:p>
    <w:p w14:paraId="7B7CA14D">
      <w:pPr>
        <w:spacing w:after="0" w:line="480" w:lineRule="exact"/>
        <w:ind w:firstLine="480" w:firstLineChars="200"/>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4、固体废物</w:t>
      </w:r>
    </w:p>
    <w:bookmarkEnd w:id="0"/>
    <w:bookmarkEnd w:id="1"/>
    <w:bookmarkEnd w:id="2"/>
    <w:bookmarkEnd w:id="3"/>
    <w:p w14:paraId="638E2449">
      <w:pPr>
        <w:spacing w:after="0" w:line="480" w:lineRule="exact"/>
        <w:ind w:firstLine="480" w:firstLineChars="200"/>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t>本项目固体废物主要为原料拣选杂质、含铁杂质、过筛废渣、废石膏模具、不合格品、沉淀污泥、废原料包装袋、废耐火材料、生活垃圾及废矿物油等。其中生活垃圾收集后由环卫部门定期清运处理，废矿物油用作脱模剂，拣选杂质、含铁杂质、过筛废渣、废石膏模具、不合格品、沉淀污泥、废耐火材料用作铺路材料，废包装材料收集后外售综合利用。</w:t>
      </w:r>
    </w:p>
    <w:p w14:paraId="56EC033D">
      <w:pPr>
        <w:spacing w:after="0" w:line="480" w:lineRule="exact"/>
        <w:ind w:firstLine="482" w:firstLineChars="200"/>
        <w:rPr>
          <w:rFonts w:ascii="Times New Roman" w:hAnsi="Times New Roman" w:eastAsia="宋体" w:cs="Times New Roman"/>
          <w:b/>
          <w:color w:val="000000" w:themeColor="text1"/>
          <w:sz w:val="24"/>
          <w:szCs w:val="24"/>
          <w14:textFill>
            <w14:solidFill>
              <w14:schemeClr w14:val="tx1"/>
            </w14:solidFill>
          </w14:textFill>
        </w:rPr>
      </w:pPr>
      <w:r>
        <w:rPr>
          <w:rFonts w:hint="eastAsia" w:ascii="Times New Roman" w:hAnsi="Times New Roman" w:eastAsia="宋体" w:cs="Times New Roman"/>
          <w:b/>
          <w:color w:val="000000" w:themeColor="text1"/>
          <w:sz w:val="24"/>
          <w:szCs w:val="24"/>
          <w14:textFill>
            <w14:solidFill>
              <w14:schemeClr w14:val="tx1"/>
            </w14:solidFill>
          </w14:textFill>
        </w:rPr>
        <w:t>四、环保设施运行调试效果</w:t>
      </w:r>
    </w:p>
    <w:p w14:paraId="1748D1AA">
      <w:pPr>
        <w:spacing w:after="0" w:line="480" w:lineRule="exact"/>
        <w:ind w:firstLine="480" w:firstLineChars="200"/>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（1）废气监测结论</w:t>
      </w:r>
    </w:p>
    <w:p w14:paraId="78C974BA">
      <w:pPr>
        <w:spacing w:after="0" w:line="480" w:lineRule="exact"/>
        <w:ind w:firstLine="480" w:firstLineChars="200"/>
        <w:jc w:val="right"/>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验收监测期间，项目</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有组织排放的颗粒物、SO</w:t>
      </w:r>
      <w:r>
        <w:rPr>
          <w:rFonts w:hint="eastAsia" w:ascii="Times New Roman" w:hAnsi="Times New Roman" w:eastAsia="宋体" w:cs="Times New Roman"/>
          <w:color w:val="000000" w:themeColor="text1"/>
          <w:sz w:val="24"/>
          <w:szCs w:val="24"/>
          <w:vertAlign w:val="subscript"/>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、NOx、林格曼黑度、氟化物、氯化氢、铅及其化合物、镉及其化合物、镍及其化合物均符合《陶瓷工业污染物排放标准》(GB25464-2010)表5及修改单中标准限值</w:t>
      </w:r>
      <w:r>
        <w:rPr>
          <w:rFonts w:hint="eastAsia" w:ascii="Times New Roman" w:hAnsi="Times New Roman" w:eastAsia="宋体" w:cs="Times New Roman"/>
          <w:color w:val="000000" w:themeColor="text1"/>
          <w:sz w:val="24"/>
          <w:szCs w:val="24"/>
          <w:lang w:val="en-US" w:eastAsia="zh-CN" w:bidi="zh-CN"/>
          <w14:textFill>
            <w14:solidFill>
              <w14:schemeClr w14:val="tx1"/>
            </w14:solidFill>
          </w14:textFill>
        </w:rPr>
        <w:t>要求；</w:t>
      </w:r>
      <w:r>
        <w:rPr>
          <w:rFonts w:hint="default" w:ascii="Times New Roman" w:hAnsi="Times New Roman" w:eastAsia="宋体" w:cs="Times New Roman"/>
          <w:color w:val="000000" w:themeColor="text1"/>
          <w:sz w:val="24"/>
          <w:szCs w:val="24"/>
          <w14:textFill>
            <w14:solidFill>
              <w14:schemeClr w14:val="tx1"/>
            </w14:solidFill>
          </w14:textFill>
        </w:rPr>
        <w:t>项目厂界上下风</w:t>
      </w:r>
    </w:p>
    <w:p w14:paraId="23AFC8CB">
      <w:pPr>
        <w:pStyle w:val="2"/>
        <w:rPr>
          <w:rFonts w:hint="eastAsia" w:eastAsia="宋体"/>
          <w:lang w:eastAsia="zh-CN"/>
        </w:rPr>
      </w:pPr>
      <w:r>
        <w:rPr>
          <w:rFonts w:hint="eastAsia" w:eastAsia="宋体"/>
          <w:lang w:eastAsia="zh-CN"/>
        </w:rPr>
        <w:drawing>
          <wp:inline distT="0" distB="0" distL="114300" distR="114300">
            <wp:extent cx="5252085" cy="7431405"/>
            <wp:effectExtent l="0" t="0" r="5715" b="5715"/>
            <wp:docPr id="1" name="图片 1" descr="扫描全能王 2026-05-20 08.4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扫描全能王 2026-05-20 08.42_01"/>
                    <pic:cNvPicPr>
                      <a:picLocks noChangeAspect="1"/>
                    </pic:cNvPicPr>
                  </pic:nvPicPr>
                  <pic:blipFill>
                    <a:blip r:embed="rId5"/>
                    <a:stretch>
                      <a:fillRect/>
                    </a:stretch>
                  </pic:blipFill>
                  <pic:spPr>
                    <a:xfrm>
                      <a:off x="0" y="0"/>
                      <a:ext cx="5252085" cy="7431405"/>
                    </a:xfrm>
                    <a:prstGeom prst="rect">
                      <a:avLst/>
                    </a:prstGeom>
                  </pic:spPr>
                </pic:pic>
              </a:graphicData>
            </a:graphic>
          </wp:inline>
        </w:drawing>
      </w:r>
      <w:bookmarkStart w:id="4" w:name="_GoBack"/>
      <w:r>
        <w:rPr>
          <w:rFonts w:hint="eastAsia" w:eastAsia="宋体"/>
          <w:lang w:eastAsia="zh-CN"/>
        </w:rPr>
        <w:drawing>
          <wp:inline distT="0" distB="0" distL="114300" distR="114300">
            <wp:extent cx="5252085" cy="7431405"/>
            <wp:effectExtent l="0" t="0" r="5715" b="5715"/>
            <wp:docPr id="2" name="图片 2" descr="扫描全能王 2026-05-20 08.42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扫描全能王 2026-05-20 08.42_02"/>
                    <pic:cNvPicPr>
                      <a:picLocks noChangeAspect="1"/>
                    </pic:cNvPicPr>
                  </pic:nvPicPr>
                  <pic:blipFill>
                    <a:blip r:embed="rId6"/>
                    <a:stretch>
                      <a:fillRect/>
                    </a:stretch>
                  </pic:blipFill>
                  <pic:spPr>
                    <a:xfrm>
                      <a:off x="0" y="0"/>
                      <a:ext cx="5252085" cy="7431405"/>
                    </a:xfrm>
                    <a:prstGeom prst="rect">
                      <a:avLst/>
                    </a:prstGeom>
                  </pic:spPr>
                </pic:pic>
              </a:graphicData>
            </a:graphic>
          </wp:inline>
        </w:drawing>
      </w:r>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新宋体-18030">
    <w:altName w:val="微软雅黑"/>
    <w:panose1 w:val="00000000000000000000"/>
    <w:charset w:val="00"/>
    <w:family w:val="auto"/>
    <w:pitch w:val="default"/>
    <w:sig w:usb0="00000000"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D3516A"/>
    <w:multiLevelType w:val="multilevel"/>
    <w:tmpl w:val="7DD3516A"/>
    <w:lvl w:ilvl="0" w:tentative="0">
      <w:start w:val="1"/>
      <w:numFmt w:val="decimal"/>
      <w:pStyle w:val="3"/>
      <w:lvlText w:val="%1"/>
      <w:lvlJc w:val="left"/>
      <w:pPr>
        <w:ind w:left="432" w:hanging="432"/>
      </w:pPr>
      <w:rPr>
        <w:rFonts w:hint="eastAsia"/>
      </w:rPr>
    </w:lvl>
    <w:lvl w:ilvl="1" w:tentative="0">
      <w:start w:val="1"/>
      <w:numFmt w:val="decimal"/>
      <w:pStyle w:val="4"/>
      <w:isLgl/>
      <w:lvlText w:val="%1.%2"/>
      <w:lvlJc w:val="left"/>
      <w:pPr>
        <w:ind w:left="0" w:firstLine="0"/>
      </w:pPr>
      <w:rPr>
        <w:rFonts w:hint="eastAsia"/>
      </w:rPr>
    </w:lvl>
    <w:lvl w:ilvl="2" w:tentative="0">
      <w:start w:val="1"/>
      <w:numFmt w:val="decimal"/>
      <w:pStyle w:val="5"/>
      <w:isLgl/>
      <w:lvlText w:val="%1.%2.%3"/>
      <w:lvlJc w:val="left"/>
      <w:pPr>
        <w:ind w:left="0" w:firstLine="0"/>
      </w:pPr>
      <w:rPr>
        <w:rFonts w:hint="eastAsia"/>
      </w:rPr>
    </w:lvl>
    <w:lvl w:ilvl="3" w:tentative="0">
      <w:start w:val="1"/>
      <w:numFmt w:val="decimal"/>
      <w:pStyle w:val="6"/>
      <w:isLgl/>
      <w:lvlText w:val="%1.%2.%3.%4"/>
      <w:lvlJc w:val="left"/>
      <w:pPr>
        <w:ind w:left="0" w:firstLine="0"/>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5N2ZjNjExYTYxZTIzMTFmYTE0Y2E4Y2RkMGFmYjgifQ=="/>
  </w:docVars>
  <w:rsids>
    <w:rsidRoot w:val="009C706E"/>
    <w:rsid w:val="000F5737"/>
    <w:rsid w:val="00124C42"/>
    <w:rsid w:val="001578AA"/>
    <w:rsid w:val="001C0315"/>
    <w:rsid w:val="001C06BA"/>
    <w:rsid w:val="001D054A"/>
    <w:rsid w:val="004109B4"/>
    <w:rsid w:val="004826B4"/>
    <w:rsid w:val="00750BE7"/>
    <w:rsid w:val="0079740A"/>
    <w:rsid w:val="009C706E"/>
    <w:rsid w:val="00C974F7"/>
    <w:rsid w:val="00D917A6"/>
    <w:rsid w:val="00DA0060"/>
    <w:rsid w:val="016F4DA6"/>
    <w:rsid w:val="052851DF"/>
    <w:rsid w:val="05435443"/>
    <w:rsid w:val="076068DE"/>
    <w:rsid w:val="077E1A2E"/>
    <w:rsid w:val="079F693C"/>
    <w:rsid w:val="098B217B"/>
    <w:rsid w:val="0D296529"/>
    <w:rsid w:val="0D536D61"/>
    <w:rsid w:val="0F64124B"/>
    <w:rsid w:val="128F2D41"/>
    <w:rsid w:val="144D675B"/>
    <w:rsid w:val="14EE6647"/>
    <w:rsid w:val="1990114D"/>
    <w:rsid w:val="1C136BED"/>
    <w:rsid w:val="1FE05A44"/>
    <w:rsid w:val="23990716"/>
    <w:rsid w:val="28E11534"/>
    <w:rsid w:val="29B575A9"/>
    <w:rsid w:val="2B8C705C"/>
    <w:rsid w:val="3131732D"/>
    <w:rsid w:val="31864B6F"/>
    <w:rsid w:val="3F235AF6"/>
    <w:rsid w:val="40016322"/>
    <w:rsid w:val="47B65015"/>
    <w:rsid w:val="48845673"/>
    <w:rsid w:val="49292CBC"/>
    <w:rsid w:val="4C495EA1"/>
    <w:rsid w:val="4DF72706"/>
    <w:rsid w:val="4F460451"/>
    <w:rsid w:val="5B316CA1"/>
    <w:rsid w:val="5C1D3649"/>
    <w:rsid w:val="5C321615"/>
    <w:rsid w:val="5DE057B4"/>
    <w:rsid w:val="61CD607A"/>
    <w:rsid w:val="61E0242D"/>
    <w:rsid w:val="67FC08AF"/>
    <w:rsid w:val="6BB96271"/>
    <w:rsid w:val="6C1D4C75"/>
    <w:rsid w:val="6C4E44ED"/>
    <w:rsid w:val="70050FB8"/>
    <w:rsid w:val="72C74DCE"/>
    <w:rsid w:val="75552067"/>
    <w:rsid w:val="77BB7079"/>
    <w:rsid w:val="7E494870"/>
    <w:rsid w:val="7EC06A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uiPriority="99" w:name="header"/>
    <w:lsdException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nhideWhenUsed="0" w:uiPriority="0" w:semiHidden="0"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adjustRightInd w:val="0"/>
      <w:snapToGrid w:val="0"/>
      <w:spacing w:after="200"/>
    </w:pPr>
    <w:rPr>
      <w:rFonts w:ascii="Tahoma" w:hAnsi="Tahoma" w:eastAsia="微软雅黑" w:cs="Tahoma"/>
      <w:kern w:val="0"/>
      <w:sz w:val="22"/>
      <w:szCs w:val="22"/>
      <w:lang w:val="en-US" w:eastAsia="zh-CN" w:bidi="ar-SA"/>
      <w14:ligatures w14:val="none"/>
    </w:rPr>
  </w:style>
  <w:style w:type="paragraph" w:styleId="3">
    <w:name w:val="heading 1"/>
    <w:basedOn w:val="1"/>
    <w:next w:val="1"/>
    <w:link w:val="23"/>
    <w:autoRedefine/>
    <w:qFormat/>
    <w:uiPriority w:val="0"/>
    <w:pPr>
      <w:keepNext/>
      <w:keepLines/>
      <w:widowControl w:val="0"/>
      <w:numPr>
        <w:ilvl w:val="0"/>
        <w:numId w:val="1"/>
      </w:numPr>
      <w:adjustRightInd/>
      <w:snapToGrid/>
      <w:spacing w:before="340" w:after="330" w:line="578" w:lineRule="auto"/>
      <w:jc w:val="both"/>
      <w:outlineLvl w:val="0"/>
    </w:pPr>
    <w:rPr>
      <w:rFonts w:ascii="Calibri" w:hAnsi="Calibri" w:eastAsia="等线" w:cs="Times New Roman"/>
      <w:b/>
      <w:bCs/>
      <w:color w:val="000000"/>
      <w:kern w:val="44"/>
      <w:sz w:val="44"/>
      <w:szCs w:val="44"/>
    </w:rPr>
  </w:style>
  <w:style w:type="paragraph" w:styleId="4">
    <w:name w:val="heading 2"/>
    <w:basedOn w:val="1"/>
    <w:next w:val="1"/>
    <w:link w:val="24"/>
    <w:autoRedefine/>
    <w:qFormat/>
    <w:uiPriority w:val="0"/>
    <w:pPr>
      <w:keepNext/>
      <w:keepLines/>
      <w:widowControl w:val="0"/>
      <w:numPr>
        <w:ilvl w:val="1"/>
        <w:numId w:val="1"/>
      </w:numPr>
      <w:adjustRightInd/>
      <w:snapToGrid/>
      <w:spacing w:before="260" w:after="260" w:line="416" w:lineRule="auto"/>
      <w:jc w:val="both"/>
      <w:outlineLvl w:val="1"/>
    </w:pPr>
    <w:rPr>
      <w:rFonts w:ascii="Arial" w:hAnsi="Arial" w:eastAsia="黑体" w:cs="Times New Roman"/>
      <w:b/>
      <w:bCs/>
      <w:color w:val="000000"/>
      <w:kern w:val="2"/>
      <w:sz w:val="32"/>
      <w:szCs w:val="32"/>
    </w:rPr>
  </w:style>
  <w:style w:type="paragraph" w:styleId="5">
    <w:name w:val="heading 3"/>
    <w:basedOn w:val="1"/>
    <w:next w:val="1"/>
    <w:link w:val="22"/>
    <w:autoRedefine/>
    <w:qFormat/>
    <w:uiPriority w:val="99"/>
    <w:pPr>
      <w:keepNext/>
      <w:keepLines/>
      <w:widowControl w:val="0"/>
      <w:numPr>
        <w:ilvl w:val="2"/>
        <w:numId w:val="1"/>
      </w:numPr>
      <w:adjustRightInd/>
      <w:snapToGrid/>
      <w:spacing w:before="260" w:after="260" w:line="416" w:lineRule="auto"/>
      <w:jc w:val="both"/>
      <w:outlineLvl w:val="2"/>
    </w:pPr>
    <w:rPr>
      <w:rFonts w:ascii="Calibri" w:hAnsi="Calibri" w:eastAsia="等线" w:cs="Times New Roman"/>
      <w:b/>
      <w:bCs/>
      <w:color w:val="000000"/>
      <w:kern w:val="28"/>
      <w:sz w:val="32"/>
      <w:szCs w:val="32"/>
    </w:rPr>
  </w:style>
  <w:style w:type="paragraph" w:styleId="6">
    <w:name w:val="heading 4"/>
    <w:basedOn w:val="1"/>
    <w:next w:val="1"/>
    <w:link w:val="25"/>
    <w:autoRedefine/>
    <w:qFormat/>
    <w:uiPriority w:val="0"/>
    <w:pPr>
      <w:keepNext/>
      <w:keepLines/>
      <w:widowControl w:val="0"/>
      <w:numPr>
        <w:ilvl w:val="3"/>
        <w:numId w:val="1"/>
      </w:numPr>
      <w:adjustRightInd/>
      <w:snapToGrid/>
      <w:spacing w:before="280" w:after="290" w:line="376" w:lineRule="auto"/>
      <w:jc w:val="both"/>
      <w:outlineLvl w:val="3"/>
    </w:pPr>
    <w:rPr>
      <w:rFonts w:ascii="Arial" w:hAnsi="Arial" w:eastAsia="黑体" w:cs="Times New Roman"/>
      <w:b/>
      <w:bCs/>
      <w:color w:val="000000"/>
      <w:kern w:val="28"/>
      <w:sz w:val="28"/>
      <w:szCs w:val="28"/>
    </w:rPr>
  </w:style>
  <w:style w:type="paragraph" w:styleId="7">
    <w:name w:val="heading 6"/>
    <w:basedOn w:val="1"/>
    <w:next w:val="1"/>
    <w:link w:val="26"/>
    <w:autoRedefine/>
    <w:qFormat/>
    <w:uiPriority w:val="0"/>
    <w:pPr>
      <w:keepNext/>
      <w:keepLines/>
      <w:widowControl w:val="0"/>
      <w:adjustRightInd/>
      <w:snapToGrid/>
      <w:spacing w:before="240" w:after="64" w:line="320" w:lineRule="auto"/>
      <w:jc w:val="both"/>
      <w:outlineLvl w:val="5"/>
    </w:pPr>
    <w:rPr>
      <w:rFonts w:ascii="Arial" w:hAnsi="Arial" w:eastAsia="黑体" w:cs="Times New Roman"/>
      <w:b/>
      <w:bCs/>
      <w:kern w:val="2"/>
      <w:sz w:val="24"/>
      <w:szCs w:val="24"/>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8">
    <w:name w:val="table of authorities"/>
    <w:basedOn w:val="1"/>
    <w:next w:val="1"/>
    <w:autoRedefine/>
    <w:qFormat/>
    <w:uiPriority w:val="0"/>
    <w:pPr>
      <w:ind w:left="420" w:leftChars="200"/>
    </w:pPr>
  </w:style>
  <w:style w:type="paragraph" w:styleId="9">
    <w:name w:val="Normal Indent"/>
    <w:basedOn w:val="1"/>
    <w:next w:val="1"/>
    <w:qFormat/>
    <w:uiPriority w:val="0"/>
    <w:pPr>
      <w:ind w:firstLine="420"/>
    </w:pPr>
    <w:rPr>
      <w:sz w:val="24"/>
      <w:szCs w:val="20"/>
    </w:rPr>
  </w:style>
  <w:style w:type="paragraph" w:styleId="10">
    <w:name w:val="annotation text"/>
    <w:basedOn w:val="1"/>
    <w:link w:val="27"/>
    <w:qFormat/>
    <w:uiPriority w:val="0"/>
    <w:pPr>
      <w:adjustRightInd/>
      <w:snapToGrid/>
      <w:spacing w:after="0"/>
    </w:pPr>
    <w:rPr>
      <w:rFonts w:ascii="宋体" w:hAnsi="Times New Roman" w:eastAsia="宋体" w:cs="Times New Roman"/>
      <w:sz w:val="24"/>
      <w:szCs w:val="20"/>
    </w:rPr>
  </w:style>
  <w:style w:type="paragraph" w:styleId="11">
    <w:name w:val="Body Text Indent"/>
    <w:basedOn w:val="1"/>
    <w:link w:val="28"/>
    <w:autoRedefine/>
    <w:semiHidden/>
    <w:unhideWhenUsed/>
    <w:qFormat/>
    <w:uiPriority w:val="99"/>
    <w:pPr>
      <w:widowControl w:val="0"/>
      <w:adjustRightInd/>
      <w:snapToGrid/>
      <w:spacing w:after="120"/>
      <w:ind w:left="420" w:leftChars="200"/>
      <w:jc w:val="both"/>
    </w:pPr>
    <w:rPr>
      <w:rFonts w:ascii="Calibri" w:hAnsi="Calibri" w:eastAsia="等线" w:cs="Times New Roman"/>
      <w:kern w:val="2"/>
      <w:sz w:val="21"/>
      <w:szCs w:val="20"/>
    </w:rPr>
  </w:style>
  <w:style w:type="paragraph" w:styleId="12">
    <w:name w:val="Plain Text"/>
    <w:basedOn w:val="1"/>
    <w:next w:val="13"/>
    <w:autoRedefine/>
    <w:qFormat/>
    <w:uiPriority w:val="0"/>
    <w:rPr>
      <w:rFonts w:ascii="宋体" w:hAnsi="Courier New"/>
      <w:szCs w:val="20"/>
    </w:rPr>
  </w:style>
  <w:style w:type="paragraph" w:customStyle="1" w:styleId="13">
    <w:name w:val="Default"/>
    <w:basedOn w:val="14"/>
    <w:next w:val="1"/>
    <w:autoRedefine/>
    <w:semiHidden/>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paragraph" w:customStyle="1" w:styleId="14">
    <w:name w:val="纯文本1"/>
    <w:basedOn w:val="1"/>
    <w:autoRedefine/>
    <w:qFormat/>
    <w:uiPriority w:val="0"/>
    <w:pPr>
      <w:adjustRightInd w:val="0"/>
      <w:spacing w:line="360" w:lineRule="atLeast"/>
      <w:textAlignment w:val="baseline"/>
    </w:pPr>
    <w:rPr>
      <w:rFonts w:ascii="宋体" w:hAnsi="Courier New" w:cs="Calibri"/>
      <w:szCs w:val="21"/>
    </w:rPr>
  </w:style>
  <w:style w:type="paragraph" w:styleId="15">
    <w:name w:val="toc 2"/>
    <w:basedOn w:val="1"/>
    <w:next w:val="1"/>
    <w:qFormat/>
    <w:uiPriority w:val="0"/>
    <w:pPr>
      <w:tabs>
        <w:tab w:val="right" w:leader="dot" w:pos="8302"/>
      </w:tabs>
      <w:spacing w:line="480" w:lineRule="auto"/>
      <w:ind w:left="420" w:leftChars="200"/>
    </w:pPr>
    <w:rPr>
      <w:b/>
      <w:bCs/>
    </w:rPr>
  </w:style>
  <w:style w:type="paragraph" w:styleId="16">
    <w:name w:val="Body Text First Indent"/>
    <w:basedOn w:val="2"/>
    <w:next w:val="17"/>
    <w:qFormat/>
    <w:uiPriority w:val="0"/>
    <w:pPr>
      <w:ind w:firstLine="420" w:firstLineChars="100"/>
    </w:pPr>
  </w:style>
  <w:style w:type="paragraph" w:styleId="17">
    <w:name w:val="Body Text First Indent 2"/>
    <w:basedOn w:val="11"/>
    <w:link w:val="29"/>
    <w:autoRedefine/>
    <w:unhideWhenUsed/>
    <w:qFormat/>
    <w:uiPriority w:val="0"/>
    <w:pPr>
      <w:tabs>
        <w:tab w:val="left" w:pos="540"/>
      </w:tabs>
      <w:ind w:firstLine="420" w:firstLineChars="200"/>
    </w:pPr>
  </w:style>
  <w:style w:type="paragraph" w:customStyle="1" w:styleId="20">
    <w:name w:val="xl27"/>
    <w:basedOn w:val="8"/>
    <w:next w:val="1"/>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21">
    <w:name w:val="样式 正文文本缩进 + 行距: 1.5 倍行距"/>
    <w:basedOn w:val="11"/>
    <w:autoRedefine/>
    <w:qFormat/>
    <w:uiPriority w:val="0"/>
    <w:pPr>
      <w:spacing w:after="120" w:line="360" w:lineRule="auto"/>
      <w:ind w:left="90" w:leftChars="32" w:firstLine="560" w:firstLineChars="200"/>
    </w:pPr>
    <w:rPr>
      <w:rFonts w:cs="宋体"/>
    </w:rPr>
  </w:style>
  <w:style w:type="character" w:customStyle="1" w:styleId="22">
    <w:name w:val="标题 3 字符"/>
    <w:basedOn w:val="19"/>
    <w:link w:val="5"/>
    <w:autoRedefine/>
    <w:qFormat/>
    <w:uiPriority w:val="9"/>
    <w:rPr>
      <w:b/>
      <w:bCs/>
      <w:color w:val="000000"/>
      <w:kern w:val="28"/>
      <w:sz w:val="32"/>
      <w:szCs w:val="32"/>
    </w:rPr>
  </w:style>
  <w:style w:type="character" w:customStyle="1" w:styleId="23">
    <w:name w:val="标题 1 字符"/>
    <w:basedOn w:val="19"/>
    <w:link w:val="3"/>
    <w:autoRedefine/>
    <w:qFormat/>
    <w:uiPriority w:val="0"/>
    <w:rPr>
      <w:b/>
      <w:bCs/>
      <w:color w:val="000000"/>
      <w:kern w:val="44"/>
      <w:sz w:val="44"/>
      <w:szCs w:val="44"/>
    </w:rPr>
  </w:style>
  <w:style w:type="character" w:customStyle="1" w:styleId="24">
    <w:name w:val="标题 2 字符"/>
    <w:link w:val="4"/>
    <w:autoRedefine/>
    <w:qFormat/>
    <w:uiPriority w:val="0"/>
    <w:rPr>
      <w:rFonts w:ascii="Arial" w:hAnsi="Arial" w:eastAsia="黑体"/>
      <w:b/>
      <w:bCs/>
      <w:color w:val="000000"/>
      <w:kern w:val="2"/>
      <w:sz w:val="32"/>
      <w:szCs w:val="32"/>
    </w:rPr>
  </w:style>
  <w:style w:type="character" w:customStyle="1" w:styleId="25">
    <w:name w:val="标题 4 字符"/>
    <w:link w:val="6"/>
    <w:autoRedefine/>
    <w:qFormat/>
    <w:uiPriority w:val="0"/>
    <w:rPr>
      <w:rFonts w:ascii="Arial" w:hAnsi="Arial" w:eastAsia="黑体"/>
      <w:b/>
      <w:bCs/>
      <w:color w:val="000000"/>
      <w:kern w:val="28"/>
      <w:sz w:val="28"/>
      <w:szCs w:val="28"/>
    </w:rPr>
  </w:style>
  <w:style w:type="character" w:customStyle="1" w:styleId="26">
    <w:name w:val="标题 6 字符"/>
    <w:basedOn w:val="19"/>
    <w:link w:val="7"/>
    <w:autoRedefine/>
    <w:qFormat/>
    <w:uiPriority w:val="0"/>
    <w:rPr>
      <w:rFonts w:ascii="Arial" w:hAnsi="Arial" w:eastAsia="黑体"/>
      <w:b/>
      <w:bCs/>
      <w:kern w:val="2"/>
      <w:sz w:val="24"/>
      <w:szCs w:val="24"/>
    </w:rPr>
  </w:style>
  <w:style w:type="character" w:customStyle="1" w:styleId="27">
    <w:name w:val="批注文字 字符"/>
    <w:link w:val="10"/>
    <w:autoRedefine/>
    <w:qFormat/>
    <w:uiPriority w:val="0"/>
    <w:rPr>
      <w:rFonts w:ascii="宋体" w:hAnsi="Times New Roman" w:eastAsia="宋体"/>
      <w:sz w:val="24"/>
    </w:rPr>
  </w:style>
  <w:style w:type="character" w:customStyle="1" w:styleId="28">
    <w:name w:val="正文文本缩进 字符"/>
    <w:basedOn w:val="19"/>
    <w:link w:val="11"/>
    <w:autoRedefine/>
    <w:semiHidden/>
    <w:qFormat/>
    <w:uiPriority w:val="99"/>
    <w:rPr>
      <w:kern w:val="2"/>
      <w:sz w:val="21"/>
    </w:rPr>
  </w:style>
  <w:style w:type="character" w:customStyle="1" w:styleId="29">
    <w:name w:val="正文文本首行缩进 2 字符"/>
    <w:basedOn w:val="28"/>
    <w:link w:val="17"/>
    <w:autoRedefine/>
    <w:qFormat/>
    <w:uiPriority w:val="0"/>
    <w:rPr>
      <w:kern w:val="2"/>
      <w:sz w:val="21"/>
    </w:rPr>
  </w:style>
  <w:style w:type="paragraph" w:customStyle="1" w:styleId="30">
    <w:name w:val="表 图 内容"/>
    <w:basedOn w:val="1"/>
    <w:qFormat/>
    <w:uiPriority w:val="0"/>
    <w:pPr>
      <w:jc w:val="center"/>
    </w:pPr>
    <w:rPr>
      <w:rFonts w:eastAsia="宋体"/>
      <w:sz w:val="21"/>
      <w:szCs w:val="21"/>
    </w:rPr>
  </w:style>
  <w:style w:type="paragraph" w:customStyle="1" w:styleId="31">
    <w:name w:val="正文首行缩进2个字"/>
    <w:basedOn w:val="1"/>
    <w:autoRedefine/>
    <w:qFormat/>
    <w:uiPriority w:val="0"/>
    <w:pPr>
      <w:spacing w:line="540" w:lineRule="exact"/>
      <w:ind w:firstLine="200" w:firstLineChars="200"/>
    </w:pPr>
    <w:rPr>
      <w:sz w:val="24"/>
    </w:rPr>
  </w:style>
  <w:style w:type="paragraph" w:customStyle="1" w:styleId="32">
    <w:name w:val="普通(网站)1"/>
    <w:basedOn w:val="1"/>
    <w:autoRedefine/>
    <w:qFormat/>
    <w:uiPriority w:val="0"/>
    <w:pPr>
      <w:widowControl w:val="0"/>
      <w:adjustRightInd/>
      <w:snapToGrid/>
      <w:spacing w:before="100" w:beforeAutospacing="1" w:after="100" w:afterAutospacing="1"/>
      <w:jc w:val="both"/>
    </w:pPr>
    <w:rPr>
      <w:rFonts w:ascii="宋体" w:hAnsi="宋体" w:eastAsia="宋体" w:cs="宋体"/>
      <w:kern w:val="2"/>
      <w:sz w:val="24"/>
      <w:szCs w:val="24"/>
    </w:rPr>
  </w:style>
  <w:style w:type="paragraph" w:customStyle="1" w:styleId="33">
    <w:name w:val="表格内容-WJG"/>
    <w:basedOn w:val="34"/>
    <w:autoRedefine/>
    <w:qFormat/>
    <w:uiPriority w:val="0"/>
    <w:pPr>
      <w:tabs>
        <w:tab w:val="left" w:pos="1021"/>
      </w:tabs>
      <w:snapToGrid/>
      <w:spacing w:before="0" w:beforeLines="0" w:after="0" w:afterLines="0"/>
    </w:pPr>
    <w:rPr>
      <w:sz w:val="21"/>
    </w:rPr>
  </w:style>
  <w:style w:type="paragraph" w:customStyle="1" w:styleId="34">
    <w:name w:val="表文"/>
    <w:basedOn w:val="1"/>
    <w:autoRedefine/>
    <w:qFormat/>
    <w:uiPriority w:val="0"/>
    <w:pPr>
      <w:tabs>
        <w:tab w:val="left" w:pos="1021"/>
      </w:tabs>
      <w:adjustRightInd w:val="0"/>
      <w:snapToGrid w:val="0"/>
      <w:spacing w:before="93" w:beforeLines="30" w:after="93" w:afterLines="30"/>
      <w:jc w:val="center"/>
    </w:pPr>
    <w:rPr>
      <w:snapToGrid w:val="0"/>
      <w:kern w:val="28"/>
      <w:position w:val="-24"/>
      <w:sz w:val="21"/>
      <w:szCs w:val="21"/>
    </w:rPr>
  </w:style>
  <w:style w:type="paragraph" w:customStyle="1" w:styleId="35">
    <w:name w:val="Table Text"/>
    <w:basedOn w:val="1"/>
    <w:autoRedefine/>
    <w:semiHidden/>
    <w:qFormat/>
    <w:uiPriority w:val="0"/>
    <w:rPr>
      <w:rFonts w:ascii="宋体" w:hAnsi="宋体" w:eastAsia="宋体" w:cs="宋体"/>
      <w:sz w:val="20"/>
      <w:szCs w:val="20"/>
      <w:lang w:val="en-US" w:eastAsia="en-US" w:bidi="ar-SA"/>
    </w:rPr>
  </w:style>
  <w:style w:type="table" w:customStyle="1" w:styleId="36">
    <w:name w:val="Table Normal"/>
    <w:autoRedefine/>
    <w:unhideWhenUsed/>
    <w:qFormat/>
    <w:uiPriority w:val="0"/>
    <w:tblPr>
      <w:tblCellMar>
        <w:top w:w="0" w:type="dxa"/>
        <w:left w:w="0" w:type="dxa"/>
        <w:bottom w:w="0" w:type="dxa"/>
        <w:right w:w="0" w:type="dxa"/>
      </w:tblCellMar>
    </w:tblPr>
  </w:style>
  <w:style w:type="paragraph" w:customStyle="1" w:styleId="37">
    <w:name w:val="正文（源通）"/>
    <w:basedOn w:val="1"/>
    <w:autoRedefine/>
    <w:qFormat/>
    <w:uiPriority w:val="0"/>
    <w:pPr>
      <w:spacing w:line="500" w:lineRule="exact"/>
      <w:ind w:firstLine="480" w:firstLineChars="200"/>
      <w:jc w:val="left"/>
    </w:pPr>
    <w:rPr>
      <w:rFonts w:ascii="Times New Roman" w:hAnsi="Times New Roman" w:eastAsia="Times New Roman" w:cs="Times New Roman"/>
      <w:color w:val="FF0000"/>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2798</Words>
  <Characters>2989</Characters>
  <Lines>20</Lines>
  <Paragraphs>5</Paragraphs>
  <TotalTime>3</TotalTime>
  <ScaleCrop>false</ScaleCrop>
  <LinksUpToDate>false</LinksUpToDate>
  <CharactersWithSpaces>3005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2023-09-25T06:00:00Z</dcterms:created>
  <dc:creator>xw</dc:creator>
  <cp:lastModifiedBy>简乐</cp:lastModifiedBy>
  <dcterms:modified xsi:type="dcterms:W3CDTF">2026-05-20T00:46:16Z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97A97022458C440F9A9C6CB4E3CE6973_12</vt:lpwstr>
  </property>
  <property fmtid="{D5CDD505-2E9C-101B-9397-08002B2CF9AE}" pid="4" name="KSOTemplateDocerSaveRecord">
    <vt:lpwstr>eyJoZGlkIjoiN2FhOGMxMjNkNDcyMGY2MjlkYTcyNTk3Mjk4YmM5NzAiLCJ1c2VySWQiOiIyOTkxNzg1NjUifQ==</vt:lpwstr>
  </property>
</Properties>
</file>